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F49B2F">
      <w:pPr>
        <w:jc w:val="center"/>
        <w:rPr>
          <w:rFonts w:ascii="黑体" w:eastAsia="黑体"/>
          <w:b/>
          <w:sz w:val="32"/>
          <w:szCs w:val="32"/>
        </w:rPr>
      </w:pPr>
      <w:r>
        <w:rPr>
          <w:rFonts w:hint="eastAsia" w:ascii="黑体" w:eastAsia="黑体"/>
          <w:b/>
          <w:sz w:val="32"/>
          <w:szCs w:val="32"/>
        </w:rPr>
        <w:t>贵州省地方计量技术校准规范</w:t>
      </w:r>
    </w:p>
    <w:p w14:paraId="78F786CC">
      <w:pPr>
        <w:jc w:val="center"/>
        <w:rPr>
          <w:rFonts w:ascii="宋体" w:hAnsi="宋体"/>
          <w:b/>
          <w:bCs/>
          <w:sz w:val="32"/>
          <w:szCs w:val="32"/>
        </w:rPr>
      </w:pPr>
      <w:r>
        <w:rPr>
          <w:rFonts w:hint="eastAsia" w:ascii="黑体" w:eastAsia="黑体"/>
          <w:b/>
          <w:sz w:val="32"/>
          <w:szCs w:val="32"/>
        </w:rPr>
        <w:t>《便携式制动性能测试仪静态校准装置校准规范》编制说明</w:t>
      </w:r>
    </w:p>
    <w:p w14:paraId="7F55C244">
      <w:pPr>
        <w:rPr>
          <w:sz w:val="24"/>
        </w:rPr>
      </w:pPr>
    </w:p>
    <w:p w14:paraId="1F80DC91">
      <w:pPr>
        <w:numPr>
          <w:ilvl w:val="0"/>
          <w:numId w:val="1"/>
        </w:numPr>
        <w:ind w:firstLine="560" w:firstLineChars="200"/>
        <w:rPr>
          <w:rFonts w:hint="eastAsia" w:ascii="黑体" w:hAnsi="宋体" w:eastAsia="黑体"/>
          <w:sz w:val="28"/>
          <w:lang w:val="en-US" w:eastAsia="zh-CN"/>
        </w:rPr>
      </w:pPr>
      <w:r>
        <w:rPr>
          <w:rFonts w:hint="eastAsia" w:ascii="黑体" w:hAnsi="宋体" w:eastAsia="黑体"/>
          <w:sz w:val="28"/>
        </w:rPr>
        <w:t>必要性</w:t>
      </w:r>
      <w:r>
        <w:rPr>
          <w:rFonts w:hint="eastAsia" w:ascii="黑体" w:hAnsi="宋体" w:eastAsia="黑体"/>
          <w:sz w:val="28"/>
          <w:lang w:val="en-US" w:eastAsia="zh-CN"/>
        </w:rPr>
        <w:t>及意义</w:t>
      </w:r>
    </w:p>
    <w:p w14:paraId="539071C6">
      <w:pPr>
        <w:numPr>
          <w:ilvl w:val="0"/>
          <w:numId w:val="0"/>
        </w:numPr>
        <w:ind w:firstLine="560" w:firstLineChars="200"/>
        <w:rPr>
          <w:sz w:val="28"/>
          <w:szCs w:val="28"/>
        </w:rPr>
      </w:pPr>
      <w:r>
        <w:rPr>
          <w:rFonts w:hint="eastAsia"/>
          <w:sz w:val="28"/>
          <w:szCs w:val="28"/>
        </w:rPr>
        <w:t>目前，我国暂未颁布便携式制动性能测试仪静态校准装置</w:t>
      </w:r>
      <w:r>
        <w:rPr>
          <w:rFonts w:hint="eastAsia"/>
          <w:sz w:val="28"/>
          <w:szCs w:val="28"/>
          <w:lang w:eastAsia="zh-CN"/>
        </w:rPr>
        <w:t>（</w:t>
      </w:r>
      <w:r>
        <w:rPr>
          <w:rFonts w:hint="eastAsia"/>
          <w:sz w:val="28"/>
          <w:szCs w:val="28"/>
          <w:lang w:val="en-US" w:eastAsia="zh-CN"/>
        </w:rPr>
        <w:t>以下简称校准装置</w:t>
      </w:r>
      <w:r>
        <w:rPr>
          <w:rFonts w:hint="eastAsia"/>
          <w:sz w:val="28"/>
          <w:szCs w:val="28"/>
          <w:lang w:eastAsia="zh-CN"/>
        </w:rPr>
        <w:t>）</w:t>
      </w:r>
      <w:r>
        <w:rPr>
          <w:rFonts w:hint="eastAsia"/>
          <w:sz w:val="28"/>
          <w:szCs w:val="28"/>
        </w:rPr>
        <w:t>的国家检定规程或校准规范。制定</w:t>
      </w:r>
      <w:r>
        <w:rPr>
          <w:rFonts w:hint="eastAsia"/>
          <w:sz w:val="28"/>
          <w:szCs w:val="28"/>
          <w:lang w:val="en-US" w:eastAsia="zh-CN"/>
        </w:rPr>
        <w:t>校准装置</w:t>
      </w:r>
      <w:r>
        <w:rPr>
          <w:rFonts w:hint="eastAsia"/>
          <w:sz w:val="28"/>
          <w:szCs w:val="28"/>
        </w:rPr>
        <w:t>校准规范可以有效保障该装置的量值准确可靠，对于保障机动车的安全行驶和民生安全提供计量技术支撑具有必要性。编制《便携式制动性能测试仪静态校准装置校准规范》的目的是保证我省</w:t>
      </w:r>
      <w:r>
        <w:rPr>
          <w:rFonts w:hint="eastAsia"/>
          <w:sz w:val="28"/>
          <w:szCs w:val="28"/>
          <w:lang w:val="en-US" w:eastAsia="zh-CN"/>
        </w:rPr>
        <w:t>校准装置</w:t>
      </w:r>
      <w:r>
        <w:rPr>
          <w:rFonts w:hint="eastAsia"/>
          <w:sz w:val="28"/>
          <w:szCs w:val="28"/>
        </w:rPr>
        <w:t>的计量特性，制定出适合我省校准装置的校准规范，满足我省计量工作的需要，使校准装置计量性能准确可靠。</w:t>
      </w:r>
    </w:p>
    <w:p w14:paraId="53FC9ACD">
      <w:pPr>
        <w:ind w:firstLine="560" w:firstLineChars="200"/>
        <w:rPr>
          <w:rFonts w:hint="default" w:ascii="黑体" w:hAnsi="宋体" w:eastAsia="黑体"/>
          <w:sz w:val="28"/>
          <w:lang w:val="en-US" w:eastAsia="zh-CN"/>
        </w:rPr>
      </w:pPr>
      <w:r>
        <w:rPr>
          <w:rFonts w:hint="eastAsia" w:ascii="黑体" w:hAnsi="宋体" w:eastAsia="黑体"/>
          <w:sz w:val="28"/>
        </w:rPr>
        <w:t>二、</w:t>
      </w:r>
      <w:r>
        <w:rPr>
          <w:rFonts w:hint="eastAsia" w:ascii="黑体" w:hAnsi="宋体" w:eastAsia="黑体"/>
          <w:sz w:val="28"/>
          <w:lang w:val="en-US" w:eastAsia="zh-CN"/>
        </w:rPr>
        <w:t>任务来源</w:t>
      </w:r>
    </w:p>
    <w:p w14:paraId="168DEE1F">
      <w:pPr>
        <w:ind w:firstLine="560" w:firstLineChars="200"/>
        <w:rPr>
          <w:rFonts w:hint="eastAsia"/>
          <w:sz w:val="28"/>
          <w:szCs w:val="28"/>
        </w:rPr>
      </w:pPr>
      <w:r>
        <w:rPr>
          <w:rFonts w:hint="eastAsia"/>
          <w:sz w:val="28"/>
          <w:szCs w:val="28"/>
        </w:rPr>
        <w:t>《便携式制动性能测试仪静态校准装置校准规范》的任务来源是由贵州省市场监督管理局2023年批准立项，编制《便携式制动性能测试仪静态校准装置校准规范》，此规范为首次制定。</w:t>
      </w:r>
    </w:p>
    <w:p w14:paraId="0C9135F8">
      <w:pPr>
        <w:ind w:firstLine="560" w:firstLineChars="200"/>
        <w:rPr>
          <w:rFonts w:ascii="黑体" w:hAnsi="宋体" w:eastAsia="黑体"/>
          <w:bCs/>
          <w:sz w:val="28"/>
        </w:rPr>
      </w:pPr>
      <w:r>
        <w:rPr>
          <w:rFonts w:hint="eastAsia" w:ascii="黑体" w:hAnsi="宋体" w:eastAsia="黑体"/>
          <w:bCs/>
          <w:sz w:val="28"/>
        </w:rPr>
        <w:t xml:space="preserve">三、编制原则   </w:t>
      </w:r>
    </w:p>
    <w:p w14:paraId="4C665250">
      <w:pPr>
        <w:ind w:firstLine="560" w:firstLineChars="200"/>
        <w:rPr>
          <w:rFonts w:ascii="宋体" w:hAnsi="宋体"/>
          <w:bCs/>
          <w:sz w:val="28"/>
        </w:rPr>
      </w:pPr>
      <w:r>
        <w:rPr>
          <w:rFonts w:hint="eastAsia" w:ascii="宋体" w:hAnsi="宋体"/>
          <w:bCs/>
          <w:sz w:val="28"/>
        </w:rPr>
        <w:t>为了使规范既有先进性、又考虑适应实际情况，起草小组在制定过程中，力求按照以下原则，完成规范的起草工作：</w:t>
      </w:r>
    </w:p>
    <w:p w14:paraId="2C95B3D7">
      <w:pPr>
        <w:ind w:firstLine="560" w:firstLineChars="200"/>
        <w:rPr>
          <w:rFonts w:ascii="宋体" w:hAnsi="宋体"/>
          <w:bCs/>
          <w:sz w:val="28"/>
        </w:rPr>
      </w:pPr>
      <w:r>
        <w:rPr>
          <w:rFonts w:hint="eastAsia" w:ascii="宋体" w:hAnsi="宋体"/>
          <w:bCs/>
          <w:sz w:val="28"/>
        </w:rPr>
        <w:t>（1）力求与国际标准、国际建议、国家标准接轨，保证其先进性、法制性；</w:t>
      </w:r>
    </w:p>
    <w:p w14:paraId="7A310696">
      <w:pPr>
        <w:ind w:firstLine="560" w:firstLineChars="200"/>
        <w:rPr>
          <w:rFonts w:ascii="宋体" w:hAnsi="宋体"/>
          <w:bCs/>
          <w:sz w:val="28"/>
        </w:rPr>
      </w:pPr>
      <w:r>
        <w:rPr>
          <w:rFonts w:hint="eastAsia" w:ascii="宋体" w:hAnsi="宋体"/>
          <w:bCs/>
          <w:sz w:val="28"/>
        </w:rPr>
        <w:t>（2）在用设备上，既要采用先进的仪器设备，现场适应性强，数据准确，又要来考虑经济适用、性能可靠；</w:t>
      </w:r>
    </w:p>
    <w:p w14:paraId="1B828030">
      <w:pPr>
        <w:ind w:firstLine="560" w:firstLineChars="200"/>
        <w:rPr>
          <w:rFonts w:ascii="宋体" w:hAnsi="宋体"/>
          <w:bCs/>
          <w:sz w:val="28"/>
        </w:rPr>
      </w:pPr>
      <w:r>
        <w:rPr>
          <w:rFonts w:hint="eastAsia" w:ascii="宋体" w:hAnsi="宋体"/>
          <w:bCs/>
          <w:sz w:val="28"/>
        </w:rPr>
        <w:t>（3）在校准方法设计上，既要能测出主要技术指标，又要力求适用、操作简便；</w:t>
      </w:r>
    </w:p>
    <w:p w14:paraId="679A0158">
      <w:pPr>
        <w:ind w:firstLine="560" w:firstLineChars="200"/>
        <w:rPr>
          <w:rFonts w:ascii="宋体" w:hAnsi="宋体"/>
          <w:bCs/>
          <w:sz w:val="28"/>
        </w:rPr>
      </w:pPr>
      <w:r>
        <w:rPr>
          <w:rFonts w:hint="eastAsia" w:ascii="宋体" w:hAnsi="宋体"/>
          <w:bCs/>
          <w:sz w:val="28"/>
        </w:rPr>
        <w:t>（4）在规范实施中要保证其具有可操作性和经济性。</w:t>
      </w:r>
    </w:p>
    <w:p w14:paraId="1B55A7AE">
      <w:pPr>
        <w:ind w:firstLine="560" w:firstLineChars="200"/>
        <w:rPr>
          <w:rFonts w:ascii="黑体" w:hAnsi="宋体" w:eastAsia="黑体"/>
          <w:bCs/>
          <w:sz w:val="28"/>
        </w:rPr>
      </w:pPr>
      <w:r>
        <w:rPr>
          <w:rFonts w:hint="eastAsia" w:ascii="黑体" w:hAnsi="宋体" w:eastAsia="黑体"/>
          <w:sz w:val="28"/>
        </w:rPr>
        <w:t>四、</w:t>
      </w:r>
      <w:r>
        <w:rPr>
          <w:rFonts w:ascii="黑体" w:hAnsi="宋体" w:eastAsia="黑体"/>
          <w:bCs/>
          <w:sz w:val="28"/>
        </w:rPr>
        <w:t>主要技术依据</w:t>
      </w:r>
    </w:p>
    <w:p w14:paraId="26917CFC">
      <w:pPr>
        <w:ind w:firstLine="560" w:firstLineChars="200"/>
        <w:rPr>
          <w:rFonts w:ascii="宋体" w:hAnsi="宋体"/>
          <w:sz w:val="28"/>
          <w:szCs w:val="28"/>
        </w:rPr>
      </w:pPr>
      <w:r>
        <w:rPr>
          <w:rFonts w:hint="eastAsia" w:ascii="宋体" w:hAnsi="宋体"/>
          <w:sz w:val="28"/>
          <w:szCs w:val="28"/>
        </w:rPr>
        <w:t>在规范的起草中，我们主要参考和引用了下列文献：</w:t>
      </w:r>
    </w:p>
    <w:p w14:paraId="7E566EC8">
      <w:pPr>
        <w:ind w:firstLine="560" w:firstLineChars="200"/>
        <w:rPr>
          <w:rFonts w:hint="eastAsia" w:ascii="宋体" w:hAnsi="宋体"/>
          <w:bCs/>
          <w:sz w:val="28"/>
        </w:rPr>
      </w:pPr>
      <w:r>
        <w:rPr>
          <w:rFonts w:hint="eastAsia" w:ascii="宋体" w:hAnsi="宋体"/>
          <w:bCs/>
          <w:sz w:val="28"/>
        </w:rPr>
        <w:t>JJF 1070-2010  国家计量校准规范编写规则</w:t>
      </w:r>
    </w:p>
    <w:p w14:paraId="66D08A0E">
      <w:pPr>
        <w:ind w:firstLine="560" w:firstLineChars="200"/>
        <w:rPr>
          <w:rFonts w:ascii="宋体" w:hAnsi="宋体"/>
          <w:color w:val="000000"/>
          <w:sz w:val="24"/>
        </w:rPr>
      </w:pPr>
      <w:r>
        <w:rPr>
          <w:rFonts w:hint="eastAsia" w:ascii="宋体" w:hAnsi="宋体"/>
          <w:bCs/>
          <w:sz w:val="28"/>
        </w:rPr>
        <w:t>JJF 1059.1—2012</w:t>
      </w:r>
      <w:r>
        <w:rPr>
          <w:rFonts w:hint="eastAsia" w:ascii="宋体" w:hAnsi="宋体"/>
          <w:bCs/>
          <w:sz w:val="28"/>
          <w:lang w:val="en-US" w:eastAsia="zh-CN"/>
        </w:rPr>
        <w:t xml:space="preserve">  </w:t>
      </w:r>
      <w:r>
        <w:rPr>
          <w:rFonts w:hint="eastAsia" w:ascii="宋体" w:hAnsi="宋体"/>
          <w:bCs/>
          <w:sz w:val="28"/>
        </w:rPr>
        <w:t>测量不确定度评定与表示</w:t>
      </w:r>
    </w:p>
    <w:p w14:paraId="0FDD5EA4">
      <w:pPr>
        <w:ind w:firstLine="560" w:firstLineChars="200"/>
        <w:rPr>
          <w:rFonts w:hint="eastAsia" w:ascii="宋体" w:hAnsi="宋体"/>
          <w:color w:val="000000"/>
          <w:sz w:val="24"/>
        </w:rPr>
      </w:pPr>
      <w:r>
        <w:rPr>
          <w:rFonts w:hint="eastAsia" w:ascii="宋体" w:hAnsi="宋体"/>
          <w:bCs/>
          <w:sz w:val="28"/>
        </w:rPr>
        <w:t>JJF 1001—2011</w:t>
      </w:r>
      <w:r>
        <w:rPr>
          <w:rFonts w:hint="eastAsia" w:ascii="宋体" w:hAnsi="宋体"/>
          <w:color w:val="000000"/>
          <w:sz w:val="24"/>
          <w:lang w:val="en-US" w:eastAsia="zh-CN"/>
        </w:rPr>
        <w:t xml:space="preserve">  </w:t>
      </w:r>
      <w:r>
        <w:rPr>
          <w:rFonts w:hint="eastAsia" w:ascii="宋体" w:hAnsi="宋体"/>
          <w:bCs/>
          <w:sz w:val="28"/>
        </w:rPr>
        <w:fldChar w:fldCharType="begin"/>
      </w:r>
      <w:r>
        <w:rPr>
          <w:rFonts w:hint="eastAsia" w:ascii="宋体" w:hAnsi="宋体"/>
          <w:bCs/>
          <w:sz w:val="28"/>
        </w:rPr>
        <w:instrText xml:space="preserve"> HYPERLINK "http://www.bzfxw.com/soft/sort024/sort046/46193672.html" \t "_blank" </w:instrText>
      </w:r>
      <w:r>
        <w:rPr>
          <w:rFonts w:hint="eastAsia" w:ascii="宋体" w:hAnsi="宋体"/>
          <w:bCs/>
          <w:sz w:val="28"/>
        </w:rPr>
        <w:fldChar w:fldCharType="separate"/>
      </w:r>
      <w:r>
        <w:rPr>
          <w:rFonts w:hint="eastAsia" w:ascii="宋体" w:hAnsi="宋体"/>
          <w:bCs/>
          <w:sz w:val="28"/>
        </w:rPr>
        <w:t>通用计量术语及定义</w:t>
      </w:r>
      <w:r>
        <w:rPr>
          <w:rFonts w:hint="eastAsia" w:ascii="宋体" w:hAnsi="宋体"/>
          <w:bCs/>
          <w:sz w:val="28"/>
        </w:rPr>
        <w:fldChar w:fldCharType="end"/>
      </w:r>
    </w:p>
    <w:p w14:paraId="7C73ABFA">
      <w:pPr>
        <w:ind w:firstLine="560" w:firstLineChars="200"/>
        <w:rPr>
          <w:rFonts w:ascii="宋体" w:hAnsi="宋体"/>
          <w:bCs/>
          <w:sz w:val="28"/>
        </w:rPr>
      </w:pPr>
      <w:r>
        <w:rPr>
          <w:rFonts w:hint="eastAsia" w:ascii="宋体" w:hAnsi="宋体"/>
          <w:bCs/>
          <w:sz w:val="28"/>
        </w:rPr>
        <w:t>JJF 1168-2007  便携式制动性能测试仪校准规范</w:t>
      </w:r>
    </w:p>
    <w:p w14:paraId="5F12EE45">
      <w:pPr>
        <w:ind w:firstLine="560" w:firstLineChars="200"/>
        <w:rPr>
          <w:rFonts w:hint="eastAsia" w:cs="Arial" w:asciiTheme="majorEastAsia" w:hAnsiTheme="majorEastAsia" w:eastAsiaTheme="majorEastAsia"/>
          <w:sz w:val="24"/>
        </w:rPr>
      </w:pPr>
      <w:r>
        <w:rPr>
          <w:rFonts w:hint="eastAsia" w:ascii="宋体" w:hAnsi="宋体"/>
          <w:bCs/>
          <w:sz w:val="28"/>
        </w:rPr>
        <w:t>JJF</w:t>
      </w:r>
      <w:r>
        <w:rPr>
          <w:rFonts w:hint="eastAsia" w:ascii="宋体" w:hAnsi="宋体"/>
          <w:bCs/>
          <w:sz w:val="28"/>
          <w:lang w:val="en-US" w:eastAsia="zh-CN"/>
        </w:rPr>
        <w:t xml:space="preserve"> </w:t>
      </w:r>
      <w:r>
        <w:rPr>
          <w:rFonts w:hint="eastAsia" w:ascii="宋体" w:hAnsi="宋体"/>
          <w:bCs/>
          <w:sz w:val="28"/>
        </w:rPr>
        <w:t>1915-2021</w:t>
      </w:r>
      <w:r>
        <w:rPr>
          <w:rFonts w:hint="eastAsia" w:ascii="宋体" w:hAnsi="宋体"/>
          <w:bCs/>
          <w:sz w:val="28"/>
          <w:lang w:val="en-US" w:eastAsia="zh-CN"/>
        </w:rPr>
        <w:t xml:space="preserve">  </w:t>
      </w:r>
      <w:r>
        <w:rPr>
          <w:rFonts w:hint="eastAsia" w:ascii="宋体" w:hAnsi="宋体"/>
          <w:bCs/>
          <w:sz w:val="28"/>
        </w:rPr>
        <w:t>倾角仪校准规范</w:t>
      </w:r>
    </w:p>
    <w:p w14:paraId="17308506">
      <w:pPr>
        <w:ind w:firstLine="560" w:firstLineChars="200"/>
        <w:rPr>
          <w:rFonts w:hint="eastAsia" w:ascii="宋体" w:hAnsi="宋体"/>
          <w:bCs/>
          <w:sz w:val="28"/>
        </w:rPr>
      </w:pPr>
      <w:r>
        <w:rPr>
          <w:rFonts w:hint="eastAsia" w:ascii="宋体" w:hAnsi="宋体"/>
          <w:bCs/>
          <w:sz w:val="28"/>
        </w:rPr>
        <w:t>GB 38900-2020  机动车安全技术检验项目和方法</w:t>
      </w:r>
    </w:p>
    <w:p w14:paraId="52F392B6">
      <w:pPr>
        <w:snapToGrid w:val="0"/>
        <w:spacing w:line="360" w:lineRule="auto"/>
        <w:ind w:firstLine="480"/>
        <w:rPr>
          <w:rFonts w:hint="eastAsia" w:ascii="宋体" w:hAnsi="宋体"/>
          <w:bCs/>
          <w:sz w:val="28"/>
          <w:lang w:val="en-US" w:eastAsia="zh-CN"/>
        </w:rPr>
      </w:pPr>
      <w:r>
        <w:rPr>
          <w:rFonts w:hint="eastAsia" w:ascii="宋体" w:hAnsi="宋体"/>
          <w:bCs/>
          <w:sz w:val="28"/>
          <w:lang w:val="en-US" w:eastAsia="zh-CN"/>
        </w:rPr>
        <w:t>JB/T 11104-2011</w:t>
      </w:r>
      <w:r>
        <w:rPr>
          <w:rFonts w:hint="eastAsia" w:cs="Arial" w:asciiTheme="majorEastAsia" w:hAnsiTheme="majorEastAsia" w:eastAsiaTheme="majorEastAsia"/>
          <w:sz w:val="24"/>
          <w:lang w:val="en-US" w:eastAsia="zh-CN"/>
        </w:rPr>
        <w:t xml:space="preserve"> </w:t>
      </w:r>
      <w:r>
        <w:rPr>
          <w:rFonts w:hint="eastAsia" w:ascii="宋体" w:hAnsi="宋体"/>
          <w:bCs/>
          <w:sz w:val="28"/>
          <w:lang w:val="en-US" w:eastAsia="zh-CN"/>
        </w:rPr>
        <w:t>电子数显倾角尺</w:t>
      </w:r>
    </w:p>
    <w:p w14:paraId="156FA32F">
      <w:pPr>
        <w:ind w:firstLine="560" w:firstLineChars="200"/>
        <w:rPr>
          <w:rFonts w:ascii="黑体" w:hAnsi="宋体" w:eastAsia="黑体"/>
          <w:sz w:val="28"/>
          <w:szCs w:val="28"/>
        </w:rPr>
      </w:pPr>
      <w:r>
        <w:rPr>
          <w:rFonts w:hint="eastAsia" w:ascii="黑体" w:hAnsi="宋体" w:eastAsia="黑体"/>
          <w:sz w:val="28"/>
        </w:rPr>
        <w:t>五、</w:t>
      </w:r>
      <w:r>
        <w:rPr>
          <w:rFonts w:hint="eastAsia" w:ascii="黑体" w:hAnsi="宋体" w:eastAsia="黑体"/>
          <w:sz w:val="28"/>
          <w:szCs w:val="28"/>
          <w:lang w:val="en-US" w:eastAsia="zh-CN"/>
        </w:rPr>
        <w:t>主要技术内容</w:t>
      </w:r>
      <w:r>
        <w:rPr>
          <w:rFonts w:hint="eastAsia" w:ascii="黑体" w:hAnsi="宋体" w:eastAsia="黑体"/>
          <w:sz w:val="28"/>
          <w:szCs w:val="28"/>
        </w:rPr>
        <w:t>及说明</w:t>
      </w:r>
      <w:r>
        <w:rPr>
          <w:rFonts w:hint="eastAsia" w:ascii="宋体" w:hAnsi="宋体"/>
          <w:sz w:val="28"/>
          <w:szCs w:val="28"/>
        </w:rPr>
        <w:t xml:space="preserve">  </w:t>
      </w:r>
    </w:p>
    <w:p w14:paraId="3FA0FB2E">
      <w:pPr>
        <w:ind w:firstLine="560" w:firstLineChars="200"/>
        <w:rPr>
          <w:rFonts w:ascii="宋体" w:hAnsi="宋体"/>
          <w:sz w:val="28"/>
          <w:szCs w:val="28"/>
        </w:rPr>
      </w:pPr>
      <w:r>
        <w:rPr>
          <w:rFonts w:hint="eastAsia" w:ascii="宋体" w:hAnsi="宋体"/>
          <w:sz w:val="28"/>
          <w:szCs w:val="28"/>
        </w:rPr>
        <w:t>规范主要内容包括：1）范围；2）引用文件；3）</w:t>
      </w:r>
      <w:r>
        <w:rPr>
          <w:rFonts w:hint="eastAsia" w:ascii="宋体" w:hAnsi="宋体"/>
          <w:sz w:val="28"/>
          <w:szCs w:val="28"/>
          <w:lang w:val="en-US" w:eastAsia="zh-CN"/>
        </w:rPr>
        <w:t>术语和计量单位</w:t>
      </w:r>
      <w:r>
        <w:rPr>
          <w:rFonts w:hint="eastAsia" w:ascii="宋体" w:hAnsi="宋体"/>
          <w:sz w:val="28"/>
          <w:szCs w:val="28"/>
        </w:rPr>
        <w:t xml:space="preserve">； </w:t>
      </w:r>
      <w:r>
        <w:rPr>
          <w:rFonts w:hint="eastAsia" w:ascii="宋体" w:hAnsi="宋体"/>
          <w:sz w:val="28"/>
          <w:szCs w:val="28"/>
          <w:lang w:val="en-US" w:eastAsia="zh-CN"/>
        </w:rPr>
        <w:t>4</w:t>
      </w:r>
      <w:r>
        <w:rPr>
          <w:rFonts w:hint="eastAsia" w:ascii="宋体" w:hAnsi="宋体"/>
          <w:sz w:val="28"/>
          <w:szCs w:val="28"/>
        </w:rPr>
        <w:t>）概述；</w:t>
      </w:r>
      <w:r>
        <w:rPr>
          <w:rFonts w:hint="eastAsia" w:ascii="宋体" w:hAnsi="宋体"/>
          <w:sz w:val="28"/>
          <w:szCs w:val="28"/>
          <w:lang w:val="en-US" w:eastAsia="zh-CN"/>
        </w:rPr>
        <w:t>5</w:t>
      </w:r>
      <w:r>
        <w:rPr>
          <w:rFonts w:hint="eastAsia" w:ascii="宋体" w:hAnsi="宋体"/>
          <w:sz w:val="28"/>
          <w:szCs w:val="28"/>
        </w:rPr>
        <w:t>）计量特性；</w:t>
      </w:r>
      <w:r>
        <w:rPr>
          <w:rFonts w:hint="eastAsia" w:ascii="宋体" w:hAnsi="宋体"/>
          <w:sz w:val="28"/>
          <w:szCs w:val="28"/>
          <w:lang w:val="en-US" w:eastAsia="zh-CN"/>
        </w:rPr>
        <w:t>6</w:t>
      </w:r>
      <w:r>
        <w:rPr>
          <w:rFonts w:hint="eastAsia" w:ascii="宋体" w:hAnsi="宋体"/>
          <w:sz w:val="28"/>
          <w:szCs w:val="28"/>
        </w:rPr>
        <w:t>）校准条件；</w:t>
      </w:r>
      <w:r>
        <w:rPr>
          <w:rFonts w:hint="eastAsia" w:ascii="宋体" w:hAnsi="宋体"/>
          <w:sz w:val="28"/>
          <w:szCs w:val="28"/>
          <w:lang w:val="en-US" w:eastAsia="zh-CN"/>
        </w:rPr>
        <w:t>7</w:t>
      </w:r>
      <w:r>
        <w:rPr>
          <w:rFonts w:hint="eastAsia" w:ascii="宋体" w:hAnsi="宋体"/>
          <w:sz w:val="28"/>
          <w:szCs w:val="28"/>
        </w:rPr>
        <w:t>）校准项目与校准方法；</w:t>
      </w:r>
      <w:r>
        <w:rPr>
          <w:rFonts w:hint="eastAsia" w:ascii="宋体" w:hAnsi="宋体"/>
          <w:sz w:val="28"/>
          <w:szCs w:val="28"/>
          <w:lang w:val="en-US" w:eastAsia="zh-CN"/>
        </w:rPr>
        <w:t>8</w:t>
      </w:r>
      <w:r>
        <w:rPr>
          <w:rFonts w:hint="eastAsia" w:ascii="宋体" w:hAnsi="宋体"/>
          <w:sz w:val="28"/>
          <w:szCs w:val="28"/>
        </w:rPr>
        <w:t>）校准结果表达</w:t>
      </w:r>
      <w:r>
        <w:rPr>
          <w:rFonts w:hint="eastAsia" w:ascii="宋体" w:hAnsi="宋体"/>
          <w:sz w:val="28"/>
          <w:szCs w:val="28"/>
          <w:lang w:val="en-US" w:eastAsia="zh-CN"/>
        </w:rPr>
        <w:t>与处理</w:t>
      </w:r>
      <w:r>
        <w:rPr>
          <w:rFonts w:hint="eastAsia" w:ascii="宋体" w:hAnsi="宋体"/>
          <w:sz w:val="28"/>
          <w:szCs w:val="28"/>
        </w:rPr>
        <w:t>；</w:t>
      </w:r>
      <w:r>
        <w:rPr>
          <w:rFonts w:hint="eastAsia" w:ascii="宋体" w:hAnsi="宋体"/>
          <w:sz w:val="28"/>
          <w:szCs w:val="28"/>
          <w:lang w:val="en-US" w:eastAsia="zh-CN"/>
        </w:rPr>
        <w:t>9</w:t>
      </w:r>
      <w:r>
        <w:rPr>
          <w:rFonts w:hint="eastAsia" w:ascii="宋体" w:hAnsi="宋体"/>
          <w:sz w:val="28"/>
          <w:szCs w:val="28"/>
        </w:rPr>
        <w:t>）复校时间间隔；</w:t>
      </w:r>
      <w:r>
        <w:rPr>
          <w:rFonts w:hint="eastAsia" w:ascii="宋体" w:hAnsi="宋体"/>
          <w:sz w:val="28"/>
          <w:szCs w:val="28"/>
          <w:lang w:val="en-US" w:eastAsia="zh-CN"/>
        </w:rPr>
        <w:t>10</w:t>
      </w:r>
      <w:r>
        <w:rPr>
          <w:rFonts w:hint="eastAsia" w:ascii="宋体" w:hAnsi="宋体"/>
          <w:sz w:val="28"/>
          <w:szCs w:val="28"/>
        </w:rPr>
        <w:t>）附录等。</w:t>
      </w:r>
    </w:p>
    <w:p w14:paraId="18289484">
      <w:pPr>
        <w:ind w:firstLine="560" w:firstLineChars="200"/>
        <w:rPr>
          <w:rFonts w:ascii="宋体" w:hAnsi="宋体"/>
          <w:sz w:val="28"/>
          <w:szCs w:val="28"/>
        </w:rPr>
      </w:pPr>
      <w:r>
        <w:rPr>
          <w:rFonts w:hint="eastAsia" w:ascii="宋体" w:hAnsi="宋体"/>
          <w:sz w:val="28"/>
          <w:szCs w:val="28"/>
        </w:rPr>
        <w:t>对</w:t>
      </w:r>
      <w:r>
        <w:rPr>
          <w:rFonts w:hint="eastAsia"/>
          <w:sz w:val="28"/>
          <w:szCs w:val="28"/>
        </w:rPr>
        <w:t>校准装置</w:t>
      </w:r>
      <w:r>
        <w:rPr>
          <w:rFonts w:hint="eastAsia" w:ascii="宋体" w:hAnsi="宋体"/>
          <w:sz w:val="28"/>
          <w:szCs w:val="28"/>
        </w:rPr>
        <w:t>计量参数进行测量研究，与相关生产厂商和使用单位进行调研交流，参照国外先进标准与测试方法，结合各生产厂家技术指标，制定出校准规范技术指标，进行各项实验及校准，保证了数据的科学性、全面性。在大量数据基础上进行校准规范的编写。</w:t>
      </w:r>
    </w:p>
    <w:p w14:paraId="55FF8C22">
      <w:pPr>
        <w:ind w:firstLine="560" w:firstLineChars="200"/>
        <w:rPr>
          <w:rFonts w:ascii="宋体" w:hAnsi="宋体"/>
          <w:sz w:val="28"/>
          <w:szCs w:val="28"/>
        </w:rPr>
      </w:pPr>
      <w:r>
        <w:rPr>
          <w:rFonts w:hint="eastAsia" w:ascii="宋体" w:hAnsi="宋体"/>
          <w:sz w:val="28"/>
          <w:szCs w:val="28"/>
        </w:rPr>
        <w:t>1. 校准用标准器</w:t>
      </w:r>
    </w:p>
    <w:p w14:paraId="64296CCB">
      <w:pPr>
        <w:ind w:firstLine="560" w:firstLineChars="200"/>
        <w:rPr>
          <w:rFonts w:ascii="宋体" w:hAnsi="宋体"/>
          <w:sz w:val="28"/>
          <w:szCs w:val="28"/>
        </w:rPr>
      </w:pPr>
      <w:r>
        <w:rPr>
          <w:rFonts w:hint="eastAsia" w:ascii="宋体" w:hAnsi="宋体"/>
          <w:sz w:val="28"/>
          <w:szCs w:val="28"/>
        </w:rPr>
        <w:t>通过调查、了解全省计量部门使用的</w:t>
      </w:r>
      <w:r>
        <w:rPr>
          <w:rFonts w:hint="eastAsia"/>
          <w:sz w:val="28"/>
          <w:szCs w:val="28"/>
        </w:rPr>
        <w:t>校准装置</w:t>
      </w:r>
      <w:r>
        <w:rPr>
          <w:rFonts w:hint="eastAsia" w:ascii="宋体" w:hAnsi="宋体"/>
          <w:sz w:val="28"/>
          <w:szCs w:val="28"/>
        </w:rPr>
        <w:t>设备情况，进行综合比较，我们采用了电子数显倾角仪作为标准器。</w:t>
      </w:r>
    </w:p>
    <w:p w14:paraId="195443D9">
      <w:pPr>
        <w:snapToGrid w:val="0"/>
        <w:spacing w:line="360" w:lineRule="auto"/>
        <w:ind w:firstLine="560" w:firstLineChars="200"/>
        <w:rPr>
          <w:rFonts w:hint="default" w:ascii="宋体" w:hAnsi="宋体" w:eastAsia="宋体"/>
          <w:sz w:val="28"/>
          <w:szCs w:val="28"/>
          <w:lang w:val="en-US" w:eastAsia="zh-CN"/>
        </w:rPr>
      </w:pPr>
      <w:r>
        <w:rPr>
          <w:rFonts w:hint="eastAsia" w:ascii="宋体" w:hAnsi="宋体"/>
          <w:color w:val="auto"/>
          <w:sz w:val="28"/>
          <w:szCs w:val="28"/>
          <w:lang w:val="en-US" w:eastAsia="zh-CN"/>
        </w:rPr>
        <w:t>本规范规定的测量标准是</w:t>
      </w:r>
      <w:r>
        <w:rPr>
          <w:rFonts w:hint="eastAsia" w:ascii="宋体" w:hAnsi="宋体"/>
          <w:sz w:val="28"/>
          <w:szCs w:val="28"/>
        </w:rPr>
        <w:t>电子数显倾角仪</w:t>
      </w:r>
      <w:r>
        <w:rPr>
          <w:rFonts w:hint="eastAsia" w:ascii="宋体" w:hAnsi="宋体"/>
          <w:color w:val="auto"/>
          <w:sz w:val="28"/>
          <w:szCs w:val="28"/>
          <w:lang w:val="en-US" w:eastAsia="zh-CN"/>
        </w:rPr>
        <w:t>，测量范围（0～180）°，分辨力0.01°，扩展不确定度不大于0.02°（</w:t>
      </w:r>
      <w:r>
        <w:rPr>
          <w:rFonts w:hint="eastAsia" w:ascii="宋体" w:hAnsi="宋体"/>
          <w:i/>
          <w:iCs/>
          <w:color w:val="auto"/>
          <w:sz w:val="28"/>
          <w:szCs w:val="28"/>
          <w:lang w:val="en-US" w:eastAsia="zh-CN"/>
        </w:rPr>
        <w:t>k</w:t>
      </w:r>
      <w:r>
        <w:rPr>
          <w:rFonts w:hint="eastAsia" w:ascii="宋体" w:hAnsi="宋体"/>
          <w:color w:val="auto"/>
          <w:sz w:val="28"/>
          <w:szCs w:val="28"/>
          <w:lang w:val="en-US" w:eastAsia="zh-CN"/>
        </w:rPr>
        <w:t>=2）。</w:t>
      </w:r>
      <w:r>
        <w:rPr>
          <w:rFonts w:hint="eastAsia"/>
          <w:sz w:val="28"/>
          <w:szCs w:val="28"/>
        </w:rPr>
        <w:t>校准装置</w:t>
      </w:r>
      <w:r>
        <w:rPr>
          <w:rFonts w:hint="eastAsia" w:ascii="宋体" w:hAnsi="宋体"/>
          <w:color w:val="auto"/>
          <w:sz w:val="28"/>
          <w:szCs w:val="28"/>
          <w:lang w:val="en-US" w:eastAsia="zh-CN"/>
        </w:rPr>
        <w:t>的角度最大允许误差是±0.2°。经过对角度示值误差不确定度的评定，得知角度示值误差不确定度与</w:t>
      </w:r>
      <w:r>
        <w:rPr>
          <w:rFonts w:hint="eastAsia"/>
          <w:sz w:val="28"/>
          <w:szCs w:val="28"/>
        </w:rPr>
        <w:t>校准装置</w:t>
      </w:r>
      <w:r>
        <w:rPr>
          <w:rFonts w:hint="eastAsia" w:ascii="宋体" w:hAnsi="宋体"/>
          <w:color w:val="auto"/>
          <w:sz w:val="28"/>
          <w:szCs w:val="28"/>
          <w:lang w:val="en-US" w:eastAsia="zh-CN"/>
        </w:rPr>
        <w:t>的最大允许误差的绝对值之比满足小于1：3的要求，故选择此测量标准是科学和合理的。</w:t>
      </w:r>
    </w:p>
    <w:p w14:paraId="656FA4B6">
      <w:pPr>
        <w:ind w:firstLine="560" w:firstLineChars="200"/>
        <w:rPr>
          <w:rFonts w:ascii="宋体" w:hAnsi="宋体"/>
          <w:sz w:val="28"/>
          <w:szCs w:val="28"/>
        </w:rPr>
      </w:pPr>
      <w:r>
        <w:rPr>
          <w:rFonts w:hint="eastAsia" w:ascii="宋体" w:hAnsi="宋体"/>
          <w:sz w:val="28"/>
          <w:szCs w:val="28"/>
        </w:rPr>
        <w:t>2. 校准方法</w:t>
      </w:r>
    </w:p>
    <w:p w14:paraId="4D120149">
      <w:pPr>
        <w:snapToGrid w:val="0"/>
        <w:spacing w:line="360" w:lineRule="auto"/>
        <w:ind w:firstLine="560" w:firstLineChars="200"/>
        <w:rPr>
          <w:rFonts w:hint="eastAsia" w:ascii="宋体" w:hAnsi="宋体"/>
          <w:sz w:val="28"/>
          <w:szCs w:val="28"/>
        </w:rPr>
      </w:pPr>
      <w:r>
        <w:rPr>
          <w:rFonts w:hint="eastAsia" w:ascii="宋体" w:hAnsi="宋体"/>
          <w:sz w:val="28"/>
          <w:szCs w:val="28"/>
        </w:rPr>
        <w:t>规范中使用的校准方法采用直接测量法，主要</w:t>
      </w:r>
      <w:r>
        <w:rPr>
          <w:rFonts w:hint="eastAsia" w:ascii="宋体" w:hAnsi="宋体"/>
          <w:color w:val="auto"/>
          <w:sz w:val="28"/>
          <w:szCs w:val="28"/>
          <w:lang w:val="en-US" w:eastAsia="zh-CN"/>
        </w:rPr>
        <w:t>参照JJF1168-2007</w:t>
      </w:r>
      <w:r>
        <w:rPr>
          <w:rFonts w:hint="eastAsia" w:ascii="宋体" w:hAnsi="宋体"/>
          <w:color w:val="auto"/>
          <w:sz w:val="28"/>
          <w:szCs w:val="28"/>
        </w:rPr>
        <w:t>《便携式制动性能测试仪校准规范》</w:t>
      </w:r>
      <w:r>
        <w:rPr>
          <w:rFonts w:hint="eastAsia" w:ascii="宋体" w:hAnsi="宋体"/>
          <w:color w:val="auto"/>
          <w:sz w:val="28"/>
          <w:szCs w:val="28"/>
          <w:lang w:val="en-US" w:eastAsia="zh-CN"/>
        </w:rPr>
        <w:t>中第7.1.3，</w:t>
      </w:r>
      <w:r>
        <w:rPr>
          <w:rFonts w:hint="eastAsia" w:ascii="宋体" w:hAnsi="宋体"/>
          <w:sz w:val="28"/>
          <w:szCs w:val="28"/>
        </w:rPr>
        <w:t>校准点选取12°、24°、37°、53°、90°五个点，将校准装置安置在稳定、可靠的工作平台上，同时把电子数显倾角仪固定在旋转平台上。调整旋转平台至水平位置，同时将电子数显倾角仪和校准装置置零。以增加角度方式依次对五个点</w:t>
      </w:r>
      <w:bookmarkStart w:id="0" w:name="_GoBack"/>
      <w:bookmarkEnd w:id="0"/>
      <w:r>
        <w:rPr>
          <w:rFonts w:hint="eastAsia" w:ascii="宋体" w:hAnsi="宋体"/>
          <w:sz w:val="28"/>
          <w:szCs w:val="28"/>
        </w:rPr>
        <w:t>进行测量，重复3组测量，分别记录电子数显倾角仪的示值和校准装置的示值，取3次的平均值作为测量值，各校准点示值误差</w:t>
      </w:r>
      <w:r>
        <w:rPr>
          <w:rFonts w:hint="eastAsia" w:ascii="宋体" w:hAnsi="宋体"/>
          <w:sz w:val="28"/>
          <w:szCs w:val="28"/>
          <w:lang w:val="en-US" w:eastAsia="zh-CN"/>
        </w:rPr>
        <w:t>和示值重复性</w:t>
      </w:r>
      <w:r>
        <w:rPr>
          <w:rFonts w:hint="eastAsia" w:ascii="宋体" w:hAnsi="宋体"/>
          <w:sz w:val="28"/>
          <w:szCs w:val="28"/>
        </w:rPr>
        <w:t>按公式（1）和公式（2）计算。</w:t>
      </w:r>
    </w:p>
    <w:p w14:paraId="0525B697">
      <w:pPr>
        <w:snapToGrid w:val="0"/>
        <w:spacing w:line="360" w:lineRule="auto"/>
        <w:ind w:firstLine="560" w:firstLineChars="200"/>
        <w:rPr>
          <w:rFonts w:hint="eastAsia" w:ascii="宋体" w:hAnsi="宋体"/>
          <w:sz w:val="28"/>
          <w:szCs w:val="28"/>
        </w:rPr>
      </w:pPr>
      <w:r>
        <w:rPr>
          <w:rFonts w:hint="eastAsia" w:ascii="宋体" w:hAnsi="宋体"/>
          <w:sz w:val="28"/>
          <w:szCs w:val="28"/>
          <w:lang w:val="en-US" w:eastAsia="zh-CN"/>
        </w:rPr>
        <w:t xml:space="preserve">                     </w:t>
      </w:r>
      <w:r>
        <w:rPr>
          <w:rFonts w:hint="eastAsia" w:ascii="宋体" w:hAnsi="宋体"/>
          <w:sz w:val="28"/>
          <w:szCs w:val="28"/>
        </w:rPr>
        <w:object>
          <v:shape id="_x0000_i1025" o:spt="75" type="#_x0000_t75" style="height:15.4pt;width:57.3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rFonts w:hint="eastAsia" w:ascii="宋体" w:hAnsi="宋体"/>
          <w:sz w:val="28"/>
          <w:szCs w:val="28"/>
        </w:rPr>
        <w:t xml:space="preserve">            （1）</w:t>
      </w:r>
    </w:p>
    <w:p w14:paraId="73236134">
      <w:pPr>
        <w:snapToGrid w:val="0"/>
        <w:spacing w:line="360" w:lineRule="auto"/>
        <w:ind w:firstLine="560" w:firstLineChars="200"/>
        <w:rPr>
          <w:rFonts w:hint="eastAsia" w:ascii="宋体" w:hAnsi="宋体"/>
          <w:sz w:val="28"/>
          <w:szCs w:val="28"/>
        </w:rPr>
      </w:pPr>
      <w:r>
        <w:rPr>
          <w:rFonts w:hint="eastAsia" w:ascii="宋体" w:hAnsi="宋体"/>
          <w:sz w:val="28"/>
          <w:szCs w:val="28"/>
        </w:rPr>
        <w:t>式中：</w:t>
      </w:r>
    </w:p>
    <w:p w14:paraId="0B7CC21D">
      <w:pPr>
        <w:snapToGrid w:val="0"/>
        <w:spacing w:line="360" w:lineRule="auto"/>
        <w:ind w:firstLine="560" w:firstLineChars="200"/>
        <w:rPr>
          <w:rFonts w:hint="eastAsia" w:ascii="宋体" w:hAnsi="宋体"/>
          <w:sz w:val="28"/>
          <w:szCs w:val="28"/>
        </w:rPr>
      </w:pPr>
      <w:r>
        <w:rPr>
          <w:rFonts w:hint="eastAsia" w:ascii="宋体" w:hAnsi="宋体"/>
          <w:sz w:val="28"/>
          <w:szCs w:val="28"/>
        </w:rPr>
        <w:object>
          <v:shape id="_x0000_i1026" o:spt="75" type="#_x0000_t75" style="height:12.3pt;width:11.1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r>
        <w:rPr>
          <w:rFonts w:hint="eastAsia" w:ascii="宋体" w:hAnsi="宋体"/>
          <w:sz w:val="28"/>
          <w:szCs w:val="28"/>
        </w:rPr>
        <w:t>——校准装置各校准点示值误差，°；</w:t>
      </w:r>
    </w:p>
    <w:p w14:paraId="309F3BE6">
      <w:pPr>
        <w:snapToGrid w:val="0"/>
        <w:spacing w:line="360" w:lineRule="auto"/>
        <w:ind w:firstLine="560" w:firstLineChars="200"/>
        <w:rPr>
          <w:rFonts w:hint="eastAsia" w:ascii="宋体" w:hAnsi="宋体"/>
          <w:sz w:val="28"/>
          <w:szCs w:val="28"/>
        </w:rPr>
      </w:pPr>
      <w:r>
        <w:rPr>
          <w:rFonts w:hint="eastAsia" w:ascii="宋体" w:hAnsi="宋体"/>
          <w:sz w:val="28"/>
          <w:szCs w:val="28"/>
        </w:rPr>
        <w:object>
          <v:shape id="_x0000_i1027" o:spt="75" type="#_x0000_t75" style="height:13.85pt;width:13.1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rFonts w:hint="eastAsia" w:ascii="宋体" w:hAnsi="宋体"/>
          <w:sz w:val="28"/>
          <w:szCs w:val="28"/>
        </w:rPr>
        <w:t>——校准装置各校准点测量值平均值，°；</w:t>
      </w:r>
    </w:p>
    <w:p w14:paraId="7C693502">
      <w:pPr>
        <w:snapToGrid w:val="0"/>
        <w:spacing w:line="360" w:lineRule="auto"/>
        <w:ind w:firstLine="560" w:firstLineChars="200"/>
        <w:rPr>
          <w:rFonts w:hint="eastAsia" w:ascii="宋体" w:hAnsi="宋体"/>
          <w:sz w:val="28"/>
          <w:szCs w:val="28"/>
        </w:rPr>
      </w:pPr>
      <w:r>
        <w:rPr>
          <w:rFonts w:hint="eastAsia" w:ascii="宋体" w:hAnsi="宋体"/>
          <w:sz w:val="28"/>
          <w:szCs w:val="28"/>
        </w:rPr>
        <w:object>
          <v:shape id="_x0000_i1028" o:spt="75" type="#_x0000_t75" style="height:15.4pt;width:11.55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r>
        <w:rPr>
          <w:rFonts w:hint="eastAsia" w:ascii="宋体" w:hAnsi="宋体"/>
          <w:sz w:val="28"/>
          <w:szCs w:val="28"/>
        </w:rPr>
        <w:t>——电子数显倾角仪各校准点测量平均值，°。</w:t>
      </w:r>
    </w:p>
    <w:p w14:paraId="2079352E">
      <w:pPr>
        <w:snapToGrid w:val="0"/>
        <w:spacing w:line="360" w:lineRule="auto"/>
        <w:ind w:firstLine="3360" w:firstLineChars="1200"/>
        <w:rPr>
          <w:rFonts w:hint="eastAsia" w:ascii="宋体" w:hAnsi="宋体"/>
          <w:sz w:val="28"/>
          <w:szCs w:val="28"/>
        </w:rPr>
      </w:pPr>
      <w:r>
        <w:rPr>
          <w:rFonts w:hint="eastAsia" w:ascii="宋体" w:hAnsi="宋体"/>
          <w:sz w:val="28"/>
          <w:szCs w:val="28"/>
        </w:rPr>
        <w:object>
          <v:shape id="_x0000_i1029" o:spt="75" type="#_x0000_t75" style="height:25.05pt;width:66.55pt;" o:ole="t" filled="f" o:preferrelative="t" stroked="f" coordsize="21600,21600">
            <v:path/>
            <v:fill on="f" focussize="0,0"/>
            <v:stroke on="f"/>
            <v:imagedata r:id="rId16" o:title=""/>
            <o:lock v:ext="edit" aspectratio="t"/>
            <w10:wrap type="none"/>
            <w10:anchorlock/>
          </v:shape>
          <o:OLEObject Type="Embed" ProgID="Equation.3" ShapeID="_x0000_i1029" DrawAspect="Content" ObjectID="_1468075729" r:id="rId15">
            <o:LockedField>false</o:LockedField>
          </o:OLEObject>
        </w:object>
      </w:r>
      <w:r>
        <w:rPr>
          <w:rFonts w:hint="eastAsia" w:ascii="宋体" w:hAnsi="宋体"/>
          <w:sz w:val="28"/>
          <w:szCs w:val="28"/>
          <w:lang w:val="en-US" w:eastAsia="zh-CN"/>
        </w:rPr>
        <w:t xml:space="preserve">            </w:t>
      </w:r>
      <w:r>
        <w:rPr>
          <w:rFonts w:hint="eastAsia" w:ascii="宋体" w:hAnsi="宋体"/>
          <w:sz w:val="28"/>
          <w:szCs w:val="28"/>
        </w:rPr>
        <w:t>（2）</w:t>
      </w:r>
    </w:p>
    <w:p w14:paraId="01965A4F">
      <w:pPr>
        <w:snapToGrid w:val="0"/>
        <w:spacing w:line="360" w:lineRule="auto"/>
        <w:ind w:firstLine="560" w:firstLineChars="200"/>
        <w:rPr>
          <w:rFonts w:hint="eastAsia" w:ascii="宋体" w:hAnsi="宋体"/>
          <w:sz w:val="28"/>
          <w:szCs w:val="28"/>
        </w:rPr>
      </w:pPr>
      <w:r>
        <w:rPr>
          <w:rFonts w:hint="eastAsia" w:ascii="宋体" w:hAnsi="宋体"/>
          <w:sz w:val="28"/>
          <w:szCs w:val="28"/>
        </w:rPr>
        <w:t>式中：</w:t>
      </w:r>
    </w:p>
    <w:p w14:paraId="40F290FF">
      <w:pPr>
        <w:snapToGrid w:val="0"/>
        <w:spacing w:line="360" w:lineRule="auto"/>
        <w:ind w:firstLine="560" w:firstLineChars="200"/>
        <w:rPr>
          <w:rFonts w:hint="eastAsia" w:ascii="宋体" w:hAnsi="宋体"/>
          <w:sz w:val="28"/>
          <w:szCs w:val="28"/>
        </w:rPr>
      </w:pPr>
      <w:r>
        <w:rPr>
          <w:rFonts w:hint="eastAsia" w:ascii="宋体" w:hAnsi="宋体"/>
          <w:sz w:val="28"/>
          <w:szCs w:val="28"/>
        </w:rPr>
        <w:object>
          <v:shape id="_x0000_i1030" o:spt="75" type="#_x0000_t75" style="height:13.1pt;width:11.95pt;" o:ole="t"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17">
            <o:LockedField>false</o:LockedField>
          </o:OLEObject>
        </w:object>
      </w:r>
      <w:r>
        <w:rPr>
          <w:rFonts w:hint="eastAsia" w:ascii="宋体" w:hAnsi="宋体"/>
          <w:sz w:val="28"/>
          <w:szCs w:val="28"/>
        </w:rPr>
        <w:t>——校准装置各校准点示值重复性，°；</w:t>
      </w:r>
    </w:p>
    <w:p w14:paraId="5EF15A42">
      <w:pPr>
        <w:snapToGrid w:val="0"/>
        <w:spacing w:line="360" w:lineRule="auto"/>
        <w:ind w:firstLine="560" w:firstLineChars="200"/>
        <w:rPr>
          <w:rFonts w:hint="eastAsia" w:ascii="宋体" w:hAnsi="宋体"/>
          <w:sz w:val="28"/>
          <w:szCs w:val="28"/>
        </w:rPr>
      </w:pPr>
      <w:r>
        <w:rPr>
          <w:rFonts w:hint="eastAsia" w:ascii="宋体" w:hAnsi="宋体"/>
          <w:sz w:val="28"/>
          <w:szCs w:val="28"/>
        </w:rPr>
        <w:object>
          <v:shape id="_x0000_i1031" o:spt="75" type="#_x0000_t75" style="height:18.5pt;width:21.55pt;" o:ole="t" filled="f" o:preferrelative="t" stroked="f" coordsize="21600,21600">
            <v:path/>
            <v:fill on="f" focussize="0,0"/>
            <v:stroke on="f" joinstyle="miter"/>
            <v:imagedata r:id="rId20" o:title=""/>
            <o:lock v:ext="edit" aspectratio="t"/>
            <w10:wrap type="none"/>
            <w10:anchorlock/>
          </v:shape>
          <o:OLEObject Type="Embed" ProgID="Equation.3" ShapeID="_x0000_i1031" DrawAspect="Content" ObjectID="_1468075731" r:id="rId19">
            <o:LockedField>false</o:LockedField>
          </o:OLEObject>
        </w:object>
      </w:r>
      <w:r>
        <w:rPr>
          <w:rFonts w:hint="eastAsia" w:ascii="宋体" w:hAnsi="宋体"/>
          <w:sz w:val="28"/>
          <w:szCs w:val="28"/>
        </w:rPr>
        <w:t>——同一校准点3次测量值的最大值，°；</w:t>
      </w:r>
    </w:p>
    <w:p w14:paraId="364A16A9">
      <w:pPr>
        <w:snapToGrid w:val="0"/>
        <w:spacing w:line="360" w:lineRule="auto"/>
        <w:ind w:firstLine="560" w:firstLineChars="200"/>
        <w:rPr>
          <w:rFonts w:hint="eastAsia" w:ascii="宋体" w:hAnsi="宋体"/>
          <w:sz w:val="28"/>
          <w:szCs w:val="28"/>
        </w:rPr>
      </w:pPr>
      <w:r>
        <w:rPr>
          <w:rFonts w:hint="eastAsia" w:ascii="宋体" w:hAnsi="宋体"/>
          <w:sz w:val="28"/>
          <w:szCs w:val="28"/>
        </w:rPr>
        <w:object>
          <v:shape id="_x0000_i1032" o:spt="75" type="#_x0000_t75" style="height:16.95pt;width:20.4pt;" o:ole="t" filled="f" o:preferrelative="t" stroked="f" coordsize="21600,21600">
            <v:path/>
            <v:fill on="f" focussize="0,0"/>
            <v:stroke on="f" joinstyle="miter"/>
            <v:imagedata r:id="rId22" o:title=""/>
            <o:lock v:ext="edit" aspectratio="t"/>
            <w10:wrap type="none"/>
            <w10:anchorlock/>
          </v:shape>
          <o:OLEObject Type="Embed" ProgID="Equation.3" ShapeID="_x0000_i1032" DrawAspect="Content" ObjectID="_1468075732" r:id="rId21">
            <o:LockedField>false</o:LockedField>
          </o:OLEObject>
        </w:object>
      </w:r>
      <w:r>
        <w:rPr>
          <w:rFonts w:hint="eastAsia" w:ascii="宋体" w:hAnsi="宋体"/>
          <w:sz w:val="28"/>
          <w:szCs w:val="28"/>
        </w:rPr>
        <w:t>——同一校准点3次测量值的最小值，°；</w:t>
      </w:r>
    </w:p>
    <w:p w14:paraId="0389716D">
      <w:pPr>
        <w:snapToGrid w:val="0"/>
        <w:spacing w:line="360" w:lineRule="auto"/>
        <w:ind w:firstLine="560" w:firstLineChars="200"/>
        <w:rPr>
          <w:rFonts w:hint="eastAsia" w:ascii="黑体" w:hAnsi="宋体" w:eastAsia="黑体"/>
          <w:sz w:val="28"/>
        </w:rPr>
      </w:pPr>
      <w:r>
        <w:rPr>
          <w:rFonts w:hint="eastAsia" w:ascii="宋体" w:hAnsi="宋体"/>
          <w:sz w:val="28"/>
          <w:szCs w:val="28"/>
        </w:rPr>
        <w:object>
          <v:shape id="_x0000_i1033" o:spt="75" type="#_x0000_t75" style="height:11.35pt;width:9.45pt;" o:ole="t" filled="f" o:preferrelative="t" stroked="f" coordsize="21600,21600">
            <v:path/>
            <v:fill on="f" focussize="0,0"/>
            <v:stroke on="f"/>
            <v:imagedata r:id="rId24" o:title=""/>
            <o:lock v:ext="edit" aspectratio="t"/>
            <w10:wrap type="none"/>
            <w10:anchorlock/>
          </v:shape>
          <o:OLEObject Type="Embed" ProgID="Equation.3" ShapeID="_x0000_i1033" DrawAspect="Content" ObjectID="_1468075733" r:id="rId23">
            <o:LockedField>false</o:LockedField>
          </o:OLEObject>
        </w:object>
      </w:r>
      <w:r>
        <w:rPr>
          <w:rFonts w:hint="eastAsia" w:ascii="宋体" w:hAnsi="宋体"/>
          <w:sz w:val="28"/>
          <w:szCs w:val="28"/>
        </w:rPr>
        <w:t>——极差系数，</w:t>
      </w:r>
      <w:r>
        <w:rPr>
          <w:rFonts w:hint="eastAsia" w:ascii="宋体" w:hAnsi="宋体"/>
          <w:sz w:val="28"/>
          <w:szCs w:val="28"/>
        </w:rPr>
        <w:object>
          <v:shape id="_x0000_i1034" o:spt="75" type="#_x0000_t75" style="height:12pt;width:10pt;" o:ole="t" filled="f" o:preferrelative="t" stroked="f" coordsize="21600,21600">
            <v:path/>
            <v:fill on="f" focussize="0,0"/>
            <v:stroke on="f"/>
            <v:imagedata r:id="rId24" o:title=""/>
            <o:lock v:ext="edit" aspectratio="t"/>
            <w10:wrap type="none"/>
            <w10:anchorlock/>
          </v:shape>
          <o:OLEObject Type="Embed" ProgID="Equation.3" ShapeID="_x0000_i1034" DrawAspect="Content" ObjectID="_1468075734" r:id="rId25">
            <o:LockedField>false</o:LockedField>
          </o:OLEObject>
        </w:object>
      </w:r>
      <w:r>
        <w:rPr>
          <w:rFonts w:hint="eastAsia" w:ascii="宋体" w:hAnsi="宋体"/>
          <w:sz w:val="28"/>
          <w:szCs w:val="28"/>
        </w:rPr>
        <w:t>=1.69。</w:t>
      </w:r>
    </w:p>
    <w:p w14:paraId="5028614D">
      <w:pPr>
        <w:numPr>
          <w:ilvl w:val="0"/>
          <w:numId w:val="2"/>
        </w:numPr>
        <w:ind w:firstLine="560" w:firstLineChars="200"/>
        <w:rPr>
          <w:rFonts w:hint="eastAsia" w:ascii="黑体" w:hAnsi="宋体" w:eastAsia="黑体"/>
          <w:sz w:val="28"/>
          <w:szCs w:val="28"/>
        </w:rPr>
      </w:pPr>
      <w:r>
        <w:rPr>
          <w:rFonts w:hint="eastAsia" w:ascii="黑体" w:hAnsi="宋体" w:eastAsia="黑体"/>
          <w:sz w:val="28"/>
          <w:szCs w:val="28"/>
        </w:rPr>
        <w:t>主要试验验证情况</w:t>
      </w:r>
    </w:p>
    <w:p w14:paraId="7AD0E1DB">
      <w:pPr>
        <w:ind w:firstLine="560" w:firstLineChars="200"/>
        <w:rPr>
          <w:rFonts w:hint="eastAsia" w:ascii="宋体" w:hAnsi="宋体"/>
          <w:sz w:val="28"/>
          <w:szCs w:val="28"/>
        </w:rPr>
      </w:pPr>
      <w:r>
        <w:rPr>
          <w:rFonts w:hint="eastAsia" w:ascii="宋体" w:hAnsi="宋体"/>
          <w:sz w:val="28"/>
          <w:szCs w:val="28"/>
          <w:lang w:val="en-US" w:eastAsia="zh-CN"/>
        </w:rPr>
        <w:t>此项内容见试验验证报告。</w:t>
      </w:r>
      <w:r>
        <w:rPr>
          <w:rFonts w:hint="eastAsia" w:ascii="宋体" w:hAnsi="宋体"/>
          <w:sz w:val="28"/>
          <w:szCs w:val="28"/>
        </w:rPr>
        <w:t xml:space="preserve">  </w:t>
      </w:r>
    </w:p>
    <w:p w14:paraId="3C2CBD7D">
      <w:pPr>
        <w:numPr>
          <w:ilvl w:val="0"/>
          <w:numId w:val="2"/>
        </w:numPr>
        <w:ind w:left="0" w:leftChars="0" w:firstLine="560" w:firstLineChars="200"/>
        <w:rPr>
          <w:rFonts w:hint="eastAsia" w:ascii="黑体" w:hAnsi="宋体" w:eastAsia="黑体"/>
          <w:sz w:val="28"/>
          <w:szCs w:val="28"/>
        </w:rPr>
      </w:pPr>
      <w:r>
        <w:rPr>
          <w:rFonts w:hint="eastAsia" w:ascii="黑体" w:hAnsi="宋体" w:eastAsia="黑体"/>
          <w:sz w:val="28"/>
          <w:szCs w:val="28"/>
        </w:rPr>
        <w:t>重大分歧意见处理情况</w:t>
      </w:r>
    </w:p>
    <w:p w14:paraId="2D6111D2">
      <w:pPr>
        <w:ind w:firstLine="840" w:firstLineChars="300"/>
        <w:rPr>
          <w:rFonts w:hint="eastAsia" w:ascii="宋体" w:hAnsi="宋体"/>
          <w:sz w:val="28"/>
          <w:szCs w:val="28"/>
          <w:lang w:val="en-US" w:eastAsia="zh-CN"/>
        </w:rPr>
      </w:pPr>
      <w:r>
        <w:rPr>
          <w:rFonts w:hint="eastAsia" w:ascii="宋体" w:hAnsi="宋体"/>
          <w:sz w:val="28"/>
          <w:szCs w:val="28"/>
          <w:lang w:val="en-US" w:eastAsia="zh-CN"/>
        </w:rPr>
        <w:t>无</w:t>
      </w:r>
    </w:p>
    <w:p w14:paraId="62BF0BBC">
      <w:pPr>
        <w:ind w:firstLine="560" w:firstLineChars="200"/>
        <w:rPr>
          <w:rFonts w:hint="eastAsia" w:ascii="黑体" w:hAnsi="宋体" w:eastAsia="黑体"/>
          <w:sz w:val="28"/>
          <w:szCs w:val="28"/>
        </w:rPr>
      </w:pPr>
      <w:r>
        <w:rPr>
          <w:rFonts w:hint="eastAsia" w:ascii="黑体" w:hAnsi="宋体" w:eastAsia="黑体"/>
          <w:sz w:val="28"/>
          <w:szCs w:val="28"/>
          <w:lang w:val="en-US" w:eastAsia="zh-CN"/>
        </w:rPr>
        <w:t>八、</w:t>
      </w:r>
      <w:r>
        <w:rPr>
          <w:rFonts w:hint="eastAsia" w:ascii="黑体" w:hAnsi="宋体" w:eastAsia="黑体"/>
          <w:sz w:val="28"/>
          <w:szCs w:val="28"/>
        </w:rPr>
        <w:t>实施计划及方案</w:t>
      </w:r>
    </w:p>
    <w:p w14:paraId="2FB2A34D">
      <w:pPr>
        <w:ind w:firstLine="560" w:firstLineChars="200"/>
        <w:rPr>
          <w:rFonts w:ascii="宋体" w:hAnsi="宋体"/>
          <w:sz w:val="28"/>
          <w:szCs w:val="28"/>
        </w:rPr>
      </w:pPr>
      <w:r>
        <w:rPr>
          <w:rFonts w:hint="eastAsia" w:ascii="宋体" w:hAnsi="宋体"/>
          <w:sz w:val="28"/>
          <w:szCs w:val="28"/>
        </w:rPr>
        <w:t>该项目预计16个月的时间完成，主要工作计划如下：</w:t>
      </w:r>
    </w:p>
    <w:p w14:paraId="3DF09C34">
      <w:pPr>
        <w:ind w:firstLine="560" w:firstLineChars="200"/>
        <w:rPr>
          <w:rFonts w:ascii="宋体" w:hAnsi="宋体"/>
          <w:sz w:val="28"/>
          <w:szCs w:val="28"/>
        </w:rPr>
      </w:pPr>
      <w:r>
        <w:rPr>
          <w:rFonts w:hint="eastAsia" w:ascii="宋体" w:hAnsi="宋体"/>
          <w:sz w:val="28"/>
          <w:szCs w:val="28"/>
        </w:rPr>
        <w:t>1）2023年4月，成立起草小组，明确项目负责人和技术负责人。（已完成）</w:t>
      </w:r>
    </w:p>
    <w:p w14:paraId="11D49C18">
      <w:pPr>
        <w:ind w:firstLine="560" w:firstLineChars="200"/>
        <w:rPr>
          <w:rFonts w:ascii="宋体" w:hAnsi="宋体"/>
          <w:sz w:val="28"/>
          <w:szCs w:val="28"/>
        </w:rPr>
      </w:pPr>
      <w:r>
        <w:rPr>
          <w:rFonts w:hint="eastAsia" w:ascii="宋体" w:hAnsi="宋体"/>
          <w:sz w:val="28"/>
          <w:szCs w:val="28"/>
        </w:rPr>
        <w:t>2）2023年4月至2023年11月，购买设备，进行调研、实验和起草工作。</w:t>
      </w:r>
    </w:p>
    <w:p w14:paraId="3D19AB3E">
      <w:pPr>
        <w:ind w:firstLine="560" w:firstLineChars="200"/>
        <w:rPr>
          <w:rFonts w:ascii="宋体" w:hAnsi="宋体"/>
          <w:sz w:val="28"/>
          <w:szCs w:val="28"/>
        </w:rPr>
      </w:pPr>
      <w:r>
        <w:rPr>
          <w:rFonts w:hint="eastAsia" w:ascii="宋体" w:hAnsi="宋体"/>
          <w:sz w:val="28"/>
          <w:szCs w:val="28"/>
        </w:rPr>
        <w:t>3）2024年3月31日前完成规范初稿和规范编制说明。</w:t>
      </w:r>
    </w:p>
    <w:p w14:paraId="78262C82">
      <w:pPr>
        <w:ind w:firstLine="560" w:firstLineChars="200"/>
        <w:rPr>
          <w:rFonts w:ascii="宋体" w:hAnsi="宋体"/>
          <w:sz w:val="28"/>
          <w:szCs w:val="28"/>
        </w:rPr>
      </w:pPr>
      <w:r>
        <w:rPr>
          <w:rFonts w:hint="eastAsia" w:ascii="宋体" w:hAnsi="宋体"/>
          <w:sz w:val="28"/>
          <w:szCs w:val="28"/>
        </w:rPr>
        <w:t>4）2024年4月至2024年7月，在讨论和征求意见的基础上，对初稿进行修改，形成规范征求意见稿，在网站公告并发送使用单位、生产单位、计量部门和各专家的征求意见。</w:t>
      </w:r>
    </w:p>
    <w:p w14:paraId="2BC7DE92">
      <w:pPr>
        <w:ind w:firstLine="560" w:firstLineChars="200"/>
        <w:rPr>
          <w:rFonts w:ascii="宋体" w:hAnsi="宋体"/>
          <w:sz w:val="28"/>
          <w:szCs w:val="28"/>
        </w:rPr>
      </w:pPr>
      <w:r>
        <w:rPr>
          <w:rFonts w:hint="eastAsia" w:ascii="宋体" w:hAnsi="宋体"/>
          <w:sz w:val="28"/>
          <w:szCs w:val="28"/>
        </w:rPr>
        <w:t>5）2024年8月至11月根据使用单位、生产单位、计量部门和专家的反馈意见，修改形成送审稿。</w:t>
      </w:r>
    </w:p>
    <w:p w14:paraId="05A3C37B">
      <w:pPr>
        <w:ind w:firstLine="560" w:firstLineChars="200"/>
        <w:rPr>
          <w:rFonts w:ascii="宋体" w:hAnsi="宋体"/>
          <w:sz w:val="28"/>
          <w:szCs w:val="28"/>
        </w:rPr>
      </w:pPr>
      <w:r>
        <w:rPr>
          <w:rFonts w:hint="eastAsia" w:ascii="宋体" w:hAnsi="宋体"/>
          <w:sz w:val="28"/>
          <w:szCs w:val="28"/>
        </w:rPr>
        <w:t>6）2024年</w:t>
      </w:r>
      <w:r>
        <w:rPr>
          <w:rFonts w:hint="eastAsia" w:ascii="宋体" w:hAnsi="宋体"/>
          <w:sz w:val="28"/>
          <w:szCs w:val="28"/>
          <w:lang w:val="en-US" w:eastAsia="zh-CN"/>
        </w:rPr>
        <w:t>9</w:t>
      </w:r>
      <w:r>
        <w:rPr>
          <w:rFonts w:hint="eastAsia" w:ascii="宋体" w:hAnsi="宋体"/>
          <w:sz w:val="28"/>
          <w:szCs w:val="28"/>
        </w:rPr>
        <w:t>月省市场监管局组织专家组评审通过。规范起草小组按照专家组提出的修改意见，对一些细节再次修改和完善，最终形成报批稿，报送贵州省市场监督管理局审批。</w:t>
      </w:r>
    </w:p>
    <w:p w14:paraId="35FC26AA">
      <w:pPr>
        <w:ind w:firstLine="280" w:firstLineChars="100"/>
        <w:rPr>
          <w:rFonts w:ascii="宋体" w:hAnsi="宋体"/>
          <w:sz w:val="28"/>
          <w:szCs w:val="28"/>
        </w:rPr>
      </w:pPr>
      <w:r>
        <w:rPr>
          <w:rFonts w:hint="eastAsia" w:ascii="黑体" w:hAnsi="宋体" w:eastAsia="黑体"/>
          <w:sz w:val="28"/>
          <w:lang w:val="en-US" w:eastAsia="zh-CN"/>
        </w:rPr>
        <w:t>九、</w:t>
      </w:r>
      <w:r>
        <w:rPr>
          <w:rFonts w:hint="eastAsia" w:ascii="黑体" w:hAnsi="宋体" w:eastAsia="黑体"/>
          <w:sz w:val="28"/>
          <w:szCs w:val="28"/>
        </w:rPr>
        <w:t>归口管理及获取意见建议方式（长期稳定）</w:t>
      </w:r>
    </w:p>
    <w:p w14:paraId="771DA74F">
      <w:pPr>
        <w:spacing w:line="360" w:lineRule="auto"/>
        <w:ind w:firstLine="560" w:firstLineChars="200"/>
        <w:rPr>
          <w:rFonts w:hint="eastAsia" w:ascii="黑体" w:hAnsi="宋体" w:eastAsia="黑体"/>
          <w:sz w:val="28"/>
          <w:szCs w:val="28"/>
        </w:rPr>
      </w:pPr>
      <w:r>
        <w:rPr>
          <w:rFonts w:hint="eastAsia" w:ascii="宋体" w:hAnsi="宋体"/>
          <w:sz w:val="28"/>
          <w:szCs w:val="28"/>
        </w:rPr>
        <w:t>2024年4月</w:t>
      </w:r>
      <w:r>
        <w:rPr>
          <w:rFonts w:hint="eastAsia"/>
          <w:sz w:val="28"/>
          <w:szCs w:val="28"/>
        </w:rPr>
        <w:t>由省局计量处挂网（中国计量协会网站）征求意见</w:t>
      </w:r>
      <w:r>
        <w:rPr>
          <w:rFonts w:hint="eastAsia" w:ascii="宋体" w:hAnsi="宋体"/>
          <w:sz w:val="28"/>
          <w:szCs w:val="28"/>
        </w:rPr>
        <w:t>公告，同时起草小组向使用单位、生产单位、计量部门和各专家发送征求意见稿，收到回函</w:t>
      </w:r>
      <w:r>
        <w:rPr>
          <w:rFonts w:hint="eastAsia" w:ascii="宋体" w:hAnsi="宋体"/>
          <w:sz w:val="28"/>
          <w:szCs w:val="28"/>
          <w:lang w:val="en-US" w:eastAsia="zh-CN"/>
        </w:rPr>
        <w:t>7</w:t>
      </w:r>
      <w:r>
        <w:rPr>
          <w:rFonts w:hint="eastAsia" w:ascii="宋体" w:hAnsi="宋体"/>
          <w:sz w:val="28"/>
          <w:szCs w:val="28"/>
        </w:rPr>
        <w:t>份，其中</w:t>
      </w:r>
      <w:r>
        <w:rPr>
          <w:rFonts w:hint="eastAsia" w:ascii="宋体" w:hAnsi="宋体"/>
          <w:sz w:val="28"/>
          <w:szCs w:val="28"/>
          <w:lang w:val="en-US" w:eastAsia="zh-CN"/>
        </w:rPr>
        <w:t>3</w:t>
      </w:r>
      <w:r>
        <w:rPr>
          <w:rFonts w:hint="eastAsia" w:ascii="宋体" w:hAnsi="宋体"/>
          <w:sz w:val="28"/>
          <w:szCs w:val="28"/>
        </w:rPr>
        <w:t>个单位给出意见或建议，</w:t>
      </w:r>
      <w:r>
        <w:rPr>
          <w:rFonts w:hint="eastAsia" w:ascii="宋体" w:hAnsi="宋体"/>
          <w:sz w:val="28"/>
          <w:szCs w:val="28"/>
          <w:lang w:val="en-US" w:eastAsia="zh-CN"/>
        </w:rPr>
        <w:t>4</w:t>
      </w:r>
      <w:r>
        <w:rPr>
          <w:rFonts w:hint="eastAsia" w:ascii="宋体" w:hAnsi="宋体"/>
          <w:sz w:val="28"/>
          <w:szCs w:val="28"/>
        </w:rPr>
        <w:t>个单位无意见或建议。共收到意见或建议</w:t>
      </w:r>
      <w:r>
        <w:rPr>
          <w:rFonts w:hint="eastAsia" w:ascii="宋体" w:hAnsi="宋体"/>
          <w:sz w:val="28"/>
          <w:szCs w:val="28"/>
          <w:lang w:val="en-US" w:eastAsia="zh-CN"/>
        </w:rPr>
        <w:t>3</w:t>
      </w:r>
      <w:r>
        <w:rPr>
          <w:rFonts w:hint="eastAsia" w:ascii="宋体" w:hAnsi="宋体"/>
          <w:sz w:val="28"/>
          <w:szCs w:val="28"/>
        </w:rPr>
        <w:t>条，采纳或部分采纳</w:t>
      </w:r>
      <w:r>
        <w:rPr>
          <w:rFonts w:hint="eastAsia" w:ascii="宋体" w:hAnsi="宋体"/>
          <w:sz w:val="28"/>
          <w:szCs w:val="28"/>
          <w:lang w:val="en-US" w:eastAsia="zh-CN"/>
        </w:rPr>
        <w:t>2</w:t>
      </w:r>
      <w:r>
        <w:rPr>
          <w:rFonts w:hint="eastAsia" w:ascii="宋体" w:hAnsi="宋体"/>
          <w:sz w:val="28"/>
          <w:szCs w:val="28"/>
        </w:rPr>
        <w:t>条。编写组对合理的意见或建议予以采纳并遵照专家意见进行了认真修改，对不采纳的条款均做出了相应说明。</w:t>
      </w:r>
    </w:p>
    <w:p w14:paraId="374370F3">
      <w:pPr>
        <w:numPr>
          <w:ilvl w:val="0"/>
          <w:numId w:val="0"/>
        </w:numPr>
        <w:ind w:firstLine="280" w:firstLineChars="100"/>
        <w:rPr>
          <w:rFonts w:hint="eastAsia" w:ascii="黑体" w:hAnsi="宋体" w:eastAsia="黑体"/>
          <w:sz w:val="28"/>
          <w:szCs w:val="28"/>
        </w:rPr>
      </w:pPr>
      <w:r>
        <w:rPr>
          <w:rFonts w:hint="eastAsia" w:ascii="黑体" w:hAnsi="宋体" w:eastAsia="黑体"/>
          <w:sz w:val="28"/>
          <w:szCs w:val="28"/>
          <w:lang w:val="en-US" w:eastAsia="zh-CN"/>
        </w:rPr>
        <w:t>十、</w:t>
      </w:r>
      <w:r>
        <w:rPr>
          <w:rFonts w:hint="eastAsia" w:ascii="黑体" w:hAnsi="宋体" w:eastAsia="黑体"/>
          <w:sz w:val="28"/>
          <w:szCs w:val="28"/>
        </w:rPr>
        <w:t>其它事项说明</w:t>
      </w:r>
    </w:p>
    <w:p w14:paraId="16F87A19">
      <w:pPr>
        <w:numPr>
          <w:ilvl w:val="0"/>
          <w:numId w:val="0"/>
        </w:numPr>
        <w:rPr>
          <w:rFonts w:ascii="宋体" w:hAnsi="宋体"/>
          <w:sz w:val="28"/>
          <w:szCs w:val="28"/>
        </w:rPr>
      </w:pPr>
      <w:r>
        <w:rPr>
          <w:rFonts w:hint="eastAsia" w:ascii="宋体" w:hAnsi="宋体"/>
          <w:sz w:val="28"/>
          <w:szCs w:val="28"/>
          <w:lang w:val="en-US" w:eastAsia="zh-CN"/>
        </w:rPr>
        <w:t xml:space="preserve">        </w:t>
      </w:r>
      <w:r>
        <w:rPr>
          <w:rFonts w:hint="eastAsia" w:ascii="宋体" w:hAnsi="宋体"/>
          <w:sz w:val="28"/>
          <w:szCs w:val="28"/>
        </w:rPr>
        <w:t>规范在规定校准项目、性能指标上主要依据JJF1168-2007《便携式制动性能测试仪校准规范》，该规范已经明确提出便携式制动性能测试仪校准装置的主要参数指标。</w:t>
      </w:r>
      <w:r>
        <w:rPr>
          <w:rFonts w:hint="eastAsia"/>
          <w:sz w:val="28"/>
          <w:szCs w:val="28"/>
        </w:rPr>
        <w:t>以上是制定此规范的编制说明，请提出宝贵意见。谢谢！</w:t>
      </w:r>
      <w:r>
        <w:rPr>
          <w:sz w:val="28"/>
          <w:szCs w:val="28"/>
        </w:rPr>
        <w:t xml:space="preserve"> </w:t>
      </w:r>
      <w:r>
        <w:rPr>
          <w:rFonts w:hint="eastAsia" w:ascii="宋体" w:hAnsi="宋体"/>
          <w:sz w:val="28"/>
          <w:szCs w:val="28"/>
        </w:rPr>
        <w:t xml:space="preserve">                     </w:t>
      </w:r>
    </w:p>
    <w:p w14:paraId="18956D02">
      <w:pPr>
        <w:spacing w:line="360" w:lineRule="auto"/>
        <w:ind w:firstLine="5460" w:firstLineChars="1950"/>
        <w:rPr>
          <w:rFonts w:hint="eastAsia" w:ascii="宋体" w:hAnsi="宋体"/>
          <w:sz w:val="28"/>
          <w:szCs w:val="28"/>
        </w:rPr>
      </w:pPr>
    </w:p>
    <w:p w14:paraId="092687D4">
      <w:pPr>
        <w:spacing w:line="360" w:lineRule="auto"/>
        <w:ind w:firstLine="5460" w:firstLineChars="1950"/>
        <w:rPr>
          <w:rFonts w:hint="eastAsia" w:ascii="宋体" w:hAnsi="宋体"/>
          <w:sz w:val="28"/>
          <w:szCs w:val="28"/>
        </w:rPr>
      </w:pPr>
    </w:p>
    <w:p w14:paraId="01C4DD8A">
      <w:pPr>
        <w:spacing w:line="360" w:lineRule="auto"/>
        <w:ind w:firstLine="5460" w:firstLineChars="1950"/>
        <w:rPr>
          <w:rFonts w:hint="eastAsia" w:ascii="宋体" w:hAnsi="宋体"/>
          <w:sz w:val="28"/>
          <w:szCs w:val="28"/>
        </w:rPr>
      </w:pPr>
    </w:p>
    <w:p w14:paraId="70C0A37F">
      <w:pPr>
        <w:spacing w:line="360" w:lineRule="auto"/>
        <w:ind w:firstLine="5460" w:firstLineChars="1950"/>
        <w:rPr>
          <w:rFonts w:ascii="宋体" w:hAnsi="宋体"/>
          <w:sz w:val="28"/>
          <w:szCs w:val="28"/>
        </w:rPr>
      </w:pPr>
      <w:r>
        <w:rPr>
          <w:rFonts w:hint="eastAsia" w:ascii="宋体" w:hAnsi="宋体"/>
          <w:sz w:val="28"/>
          <w:szCs w:val="28"/>
        </w:rPr>
        <w:t>规范起草小组</w:t>
      </w:r>
    </w:p>
    <w:p w14:paraId="2DEF3B58">
      <w:pPr>
        <w:spacing w:line="360" w:lineRule="auto"/>
        <w:ind w:firstLine="600"/>
        <w:rPr>
          <w:rFonts w:ascii="宋体" w:hAnsi="宋体"/>
          <w:sz w:val="28"/>
          <w:szCs w:val="28"/>
        </w:rPr>
      </w:pPr>
      <w:r>
        <w:rPr>
          <w:rFonts w:hint="eastAsia" w:ascii="宋体" w:hAnsi="宋体"/>
          <w:sz w:val="28"/>
          <w:szCs w:val="28"/>
        </w:rPr>
        <w:t xml:space="preserve">                                 2024年03月11日</w:t>
      </w:r>
    </w:p>
    <w:p w14:paraId="2CFC771C">
      <w:pPr>
        <w:spacing w:line="360" w:lineRule="auto"/>
        <w:ind w:firstLine="980" w:firstLineChars="350"/>
        <w:rPr>
          <w:rFonts w:ascii="宋体" w:hAnsi="宋体"/>
          <w:sz w:val="28"/>
          <w:szCs w:val="28"/>
        </w:rPr>
      </w:pPr>
      <w:r>
        <w:rPr>
          <w:rFonts w:hint="eastAsia" w:ascii="宋体" w:hAnsi="宋体"/>
          <w:sz w:val="28"/>
          <w:szCs w:val="28"/>
        </w:rPr>
        <w:t xml:space="preserve">联系人：麻勇 </w:t>
      </w:r>
    </w:p>
    <w:p w14:paraId="555531F1">
      <w:pPr>
        <w:spacing w:line="360" w:lineRule="auto"/>
        <w:ind w:firstLine="980" w:firstLineChars="350"/>
        <w:rPr>
          <w:rFonts w:ascii="宋体" w:hAnsi="宋体"/>
          <w:sz w:val="28"/>
          <w:szCs w:val="28"/>
        </w:rPr>
      </w:pPr>
      <w:r>
        <w:rPr>
          <w:rFonts w:hint="eastAsia" w:ascii="宋体" w:hAnsi="宋体"/>
          <w:sz w:val="28"/>
          <w:szCs w:val="28"/>
        </w:rPr>
        <w:t>电话：</w:t>
      </w:r>
      <w:r>
        <w:rPr>
          <w:rFonts w:hint="eastAsia" w:ascii="宋体" w:hAnsi="宋体" w:cs="宋体"/>
          <w:color w:val="000000"/>
          <w:kern w:val="0"/>
          <w:sz w:val="28"/>
          <w:szCs w:val="28"/>
        </w:rPr>
        <w:t>13765061802</w:t>
      </w:r>
      <w:r>
        <w:rPr>
          <w:rFonts w:hint="eastAsia" w:ascii="宋体" w:hAnsi="宋体"/>
          <w:sz w:val="28"/>
          <w:szCs w:val="28"/>
        </w:rPr>
        <w:t xml:space="preserve">   </w:t>
      </w:r>
    </w:p>
    <w:p w14:paraId="4884496A">
      <w:pPr>
        <w:widowControl/>
        <w:wordWrap w:val="0"/>
        <w:spacing w:line="480" w:lineRule="auto"/>
        <w:ind w:firstLine="980" w:firstLineChars="350"/>
        <w:jc w:val="left"/>
        <w:rPr>
          <w:rFonts w:ascii="宋体" w:hAnsi="宋体" w:cs="宋体"/>
          <w:color w:val="000000"/>
          <w:kern w:val="0"/>
          <w:sz w:val="28"/>
          <w:szCs w:val="28"/>
        </w:rPr>
      </w:pPr>
      <w:r>
        <w:rPr>
          <w:rFonts w:hint="eastAsia" w:ascii="宋体" w:hAnsi="宋体" w:cs="宋体"/>
          <w:color w:val="000000"/>
          <w:kern w:val="0"/>
          <w:sz w:val="28"/>
          <w:szCs w:val="28"/>
        </w:rPr>
        <w:t>E-mail:270331135@qq.com</w:t>
      </w:r>
    </w:p>
    <w:p w14:paraId="3129619A">
      <w:pPr>
        <w:spacing w:line="360" w:lineRule="auto"/>
        <w:ind w:firstLine="980" w:firstLineChars="350"/>
        <w:rPr>
          <w:rFonts w:ascii="宋体" w:hAnsi="宋体"/>
          <w:sz w:val="28"/>
          <w:szCs w:val="28"/>
        </w:rPr>
      </w:pPr>
      <w:r>
        <w:rPr>
          <w:rFonts w:hint="eastAsia" w:ascii="宋体" w:hAnsi="宋体"/>
          <w:sz w:val="28"/>
          <w:szCs w:val="28"/>
        </w:rPr>
        <w:t>单位：贵州省计量测试院</w:t>
      </w:r>
    </w:p>
    <w:p w14:paraId="421AC5C5">
      <w:pPr>
        <w:spacing w:line="360" w:lineRule="auto"/>
        <w:ind w:firstLine="980" w:firstLineChars="350"/>
        <w:rPr>
          <w:rFonts w:ascii="宋体" w:hAnsi="宋体"/>
          <w:sz w:val="28"/>
          <w:szCs w:val="28"/>
        </w:rPr>
      </w:pPr>
      <w:r>
        <w:rPr>
          <w:rFonts w:hint="eastAsia" w:ascii="宋体" w:hAnsi="宋体"/>
          <w:sz w:val="28"/>
          <w:szCs w:val="28"/>
        </w:rPr>
        <w:t>地址：贵州省贵阳市海马冲111号</w:t>
      </w:r>
    </w:p>
    <w:p w14:paraId="661B33A2">
      <w:pPr>
        <w:spacing w:line="360" w:lineRule="auto"/>
        <w:ind w:firstLine="980" w:firstLineChars="350"/>
        <w:rPr>
          <w:sz w:val="28"/>
          <w:szCs w:val="28"/>
        </w:rPr>
      </w:pPr>
      <w:r>
        <w:rPr>
          <w:rFonts w:hint="eastAsia" w:ascii="宋体" w:hAnsi="宋体"/>
          <w:sz w:val="28"/>
          <w:szCs w:val="28"/>
        </w:rPr>
        <w:t>邮政编码：550001</w:t>
      </w:r>
    </w:p>
    <w:sectPr>
      <w:headerReference r:id="rId3" w:type="default"/>
      <w:footerReference r:id="rId4" w:type="default"/>
      <w:footerReference r:id="rId5" w:type="even"/>
      <w:pgSz w:w="11906" w:h="16838"/>
      <w:pgMar w:top="1440" w:right="1418" w:bottom="1440"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ECCC5C">
    <w:pPr>
      <w:pStyle w:val="9"/>
      <w:jc w:val="center"/>
    </w:pPr>
    <w:r>
      <w:fldChar w:fldCharType="begin"/>
    </w:r>
    <w:r>
      <w:instrText xml:space="preserve"> PAGE   \* MERGEFORMAT </w:instrText>
    </w:r>
    <w:r>
      <w:fldChar w:fldCharType="separate"/>
    </w:r>
    <w:r>
      <w:rPr>
        <w:lang w:val="zh-CN"/>
      </w:rPr>
      <w:t>2</w:t>
    </w:r>
    <w:r>
      <w:fldChar w:fldCharType="end"/>
    </w:r>
  </w:p>
  <w:p w14:paraId="4607BB37">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5122E0">
    <w:pPr>
      <w:pStyle w:val="9"/>
      <w:framePr w:wrap="around" w:vAnchor="text" w:hAnchor="margin" w:xAlign="center" w:y="1"/>
      <w:rPr>
        <w:rStyle w:val="15"/>
      </w:rPr>
    </w:pPr>
    <w:r>
      <w:fldChar w:fldCharType="begin"/>
    </w:r>
    <w:r>
      <w:rPr>
        <w:rStyle w:val="15"/>
      </w:rPr>
      <w:instrText xml:space="preserve">PAGE  </w:instrText>
    </w:r>
    <w:r>
      <w:fldChar w:fldCharType="separate"/>
    </w:r>
    <w:r>
      <w:rPr>
        <w:rStyle w:val="15"/>
      </w:rPr>
      <w:t>1</w:t>
    </w:r>
    <w:r>
      <w:fldChar w:fldCharType="end"/>
    </w:r>
  </w:p>
  <w:p w14:paraId="428BDB76">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4AD54D">
    <w:pPr>
      <w:pStyle w:val="10"/>
      <w:rPr>
        <w:szCs w:val="21"/>
      </w:rPr>
    </w:pPr>
    <w:r>
      <w:rPr>
        <w:rFonts w:hint="eastAsia"/>
        <w:sz w:val="21"/>
        <w:szCs w:val="24"/>
      </w:rPr>
      <w:t>《便携式制动性能测试仪校准装置（静态）校准规范》编制说明</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25BFD6"/>
    <w:multiLevelType w:val="singleLevel"/>
    <w:tmpl w:val="8C25BFD6"/>
    <w:lvl w:ilvl="0" w:tentative="0">
      <w:start w:val="1"/>
      <w:numFmt w:val="chineseCounting"/>
      <w:suff w:val="nothing"/>
      <w:lvlText w:val="%1、"/>
      <w:lvlJc w:val="left"/>
      <w:rPr>
        <w:rFonts w:hint="eastAsia"/>
      </w:rPr>
    </w:lvl>
  </w:abstractNum>
  <w:abstractNum w:abstractNumId="1">
    <w:nsid w:val="A0C146FF"/>
    <w:multiLevelType w:val="singleLevel"/>
    <w:tmpl w:val="A0C146FF"/>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2MWY0M2JiZDE1ZmE0OWM2NjRjMDVkOWQ2Y2M2YzgifQ=="/>
  </w:docVars>
  <w:rsids>
    <w:rsidRoot w:val="0089581E"/>
    <w:rsid w:val="00006DD7"/>
    <w:rsid w:val="00047E67"/>
    <w:rsid w:val="000918C1"/>
    <w:rsid w:val="000B149E"/>
    <w:rsid w:val="000F19F6"/>
    <w:rsid w:val="00142A4F"/>
    <w:rsid w:val="00154563"/>
    <w:rsid w:val="001B109B"/>
    <w:rsid w:val="00274515"/>
    <w:rsid w:val="002A7CCE"/>
    <w:rsid w:val="002C4D03"/>
    <w:rsid w:val="002E2F03"/>
    <w:rsid w:val="002E3A99"/>
    <w:rsid w:val="0038617B"/>
    <w:rsid w:val="003A61D0"/>
    <w:rsid w:val="003E2A7C"/>
    <w:rsid w:val="004248DB"/>
    <w:rsid w:val="00444E2F"/>
    <w:rsid w:val="004B0D46"/>
    <w:rsid w:val="005273D6"/>
    <w:rsid w:val="00560796"/>
    <w:rsid w:val="005A6B4A"/>
    <w:rsid w:val="005F12A8"/>
    <w:rsid w:val="005F16F4"/>
    <w:rsid w:val="00647B0E"/>
    <w:rsid w:val="006863C2"/>
    <w:rsid w:val="006E0900"/>
    <w:rsid w:val="006F27C5"/>
    <w:rsid w:val="00737CE9"/>
    <w:rsid w:val="00746B13"/>
    <w:rsid w:val="007F797F"/>
    <w:rsid w:val="008256AD"/>
    <w:rsid w:val="00843FF0"/>
    <w:rsid w:val="00894517"/>
    <w:rsid w:val="0089581E"/>
    <w:rsid w:val="00907C45"/>
    <w:rsid w:val="009303BC"/>
    <w:rsid w:val="00933910"/>
    <w:rsid w:val="009851F6"/>
    <w:rsid w:val="009B5624"/>
    <w:rsid w:val="009F1846"/>
    <w:rsid w:val="00A24296"/>
    <w:rsid w:val="00A515B3"/>
    <w:rsid w:val="00AD222B"/>
    <w:rsid w:val="00B64380"/>
    <w:rsid w:val="00BD5021"/>
    <w:rsid w:val="00BE1E75"/>
    <w:rsid w:val="00C01541"/>
    <w:rsid w:val="00CD623C"/>
    <w:rsid w:val="00CE51C7"/>
    <w:rsid w:val="00DD7236"/>
    <w:rsid w:val="00E81155"/>
    <w:rsid w:val="00F736C6"/>
    <w:rsid w:val="00FA6446"/>
    <w:rsid w:val="00FD1011"/>
    <w:rsid w:val="00FD6727"/>
    <w:rsid w:val="00FE1064"/>
    <w:rsid w:val="00FF6BE5"/>
    <w:rsid w:val="0425250F"/>
    <w:rsid w:val="04757DCA"/>
    <w:rsid w:val="0D9D3E48"/>
    <w:rsid w:val="0F8D67AD"/>
    <w:rsid w:val="124A71D3"/>
    <w:rsid w:val="159260CB"/>
    <w:rsid w:val="1D004F53"/>
    <w:rsid w:val="1DD92A72"/>
    <w:rsid w:val="1F960DBA"/>
    <w:rsid w:val="22522A3E"/>
    <w:rsid w:val="239A1C50"/>
    <w:rsid w:val="23DA5DE6"/>
    <w:rsid w:val="30C32C9F"/>
    <w:rsid w:val="350F3DDE"/>
    <w:rsid w:val="382F44FB"/>
    <w:rsid w:val="3B103D14"/>
    <w:rsid w:val="3EA74ED2"/>
    <w:rsid w:val="3FB033B5"/>
    <w:rsid w:val="41056CE5"/>
    <w:rsid w:val="49314702"/>
    <w:rsid w:val="50063D54"/>
    <w:rsid w:val="50E702BF"/>
    <w:rsid w:val="5B663986"/>
    <w:rsid w:val="5E105433"/>
    <w:rsid w:val="5EBD7C10"/>
    <w:rsid w:val="633A3BD0"/>
    <w:rsid w:val="66607601"/>
    <w:rsid w:val="67BC1058"/>
    <w:rsid w:val="72DE7C72"/>
    <w:rsid w:val="74730CF0"/>
    <w:rsid w:val="7BDC30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b/>
      <w:bCs/>
      <w:kern w:val="0"/>
      <w:sz w:val="27"/>
      <w:szCs w:val="27"/>
    </w:rPr>
  </w:style>
  <w:style w:type="character" w:default="1" w:styleId="14">
    <w:name w:val="Default Paragraph Font"/>
    <w:semiHidden/>
    <w:unhideWhenUsed/>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link w:val="19"/>
    <w:autoRedefine/>
    <w:qFormat/>
    <w:uiPriority w:val="0"/>
    <w:pPr>
      <w:jc w:val="left"/>
    </w:pPr>
  </w:style>
  <w:style w:type="paragraph" w:styleId="4">
    <w:name w:val="Body Text"/>
    <w:basedOn w:val="1"/>
    <w:qFormat/>
    <w:uiPriority w:val="0"/>
    <w:pPr>
      <w:spacing w:before="94"/>
      <w:ind w:left="155"/>
    </w:pPr>
    <w:rPr>
      <w:rFonts w:ascii="宋体" w:hAnsi="宋体"/>
      <w:sz w:val="24"/>
    </w:rPr>
  </w:style>
  <w:style w:type="paragraph" w:styleId="5">
    <w:name w:val="Body Text Indent"/>
    <w:basedOn w:val="1"/>
    <w:autoRedefine/>
    <w:qFormat/>
    <w:uiPriority w:val="0"/>
    <w:pPr>
      <w:ind w:firstLine="538" w:firstLineChars="192"/>
    </w:pPr>
    <w:rPr>
      <w:sz w:val="28"/>
    </w:rPr>
  </w:style>
  <w:style w:type="paragraph" w:styleId="6">
    <w:name w:val="Plain Text"/>
    <w:basedOn w:val="1"/>
    <w:autoRedefine/>
    <w:qFormat/>
    <w:uiPriority w:val="0"/>
    <w:rPr>
      <w:rFonts w:ascii="宋体" w:hAnsi="Courier New"/>
      <w:szCs w:val="20"/>
    </w:rPr>
  </w:style>
  <w:style w:type="paragraph" w:styleId="7">
    <w:name w:val="Date"/>
    <w:basedOn w:val="1"/>
    <w:next w:val="1"/>
    <w:qFormat/>
    <w:uiPriority w:val="0"/>
    <w:pPr>
      <w:ind w:left="100" w:leftChars="2500"/>
    </w:pPr>
  </w:style>
  <w:style w:type="paragraph" w:styleId="8">
    <w:name w:val="Balloon Text"/>
    <w:basedOn w:val="1"/>
    <w:autoRedefine/>
    <w:semiHidden/>
    <w:qFormat/>
    <w:uiPriority w:val="0"/>
    <w:rPr>
      <w:sz w:val="18"/>
      <w:szCs w:val="18"/>
    </w:rPr>
  </w:style>
  <w:style w:type="paragraph" w:styleId="9">
    <w:name w:val="footer"/>
    <w:basedOn w:val="1"/>
    <w:link w:val="18"/>
    <w:autoRedefine/>
    <w:qFormat/>
    <w:uiPriority w:val="99"/>
    <w:pPr>
      <w:tabs>
        <w:tab w:val="center" w:pos="4153"/>
        <w:tab w:val="right" w:pos="8306"/>
      </w:tabs>
      <w:snapToGrid w:val="0"/>
      <w:jc w:val="left"/>
    </w:pPr>
    <w:rPr>
      <w:sz w:val="18"/>
      <w:szCs w:val="20"/>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20"/>
    </w:rPr>
  </w:style>
  <w:style w:type="paragraph" w:styleId="11">
    <w:name w:val="Body Text 2"/>
    <w:basedOn w:val="1"/>
    <w:qFormat/>
    <w:uiPriority w:val="0"/>
    <w:pPr>
      <w:spacing w:after="120" w:line="480" w:lineRule="auto"/>
    </w:pPr>
  </w:style>
  <w:style w:type="paragraph" w:styleId="12">
    <w:name w:val="annotation subject"/>
    <w:basedOn w:val="3"/>
    <w:next w:val="3"/>
    <w:link w:val="20"/>
    <w:qFormat/>
    <w:uiPriority w:val="0"/>
    <w:rPr>
      <w:b/>
      <w:bCs/>
    </w:rPr>
  </w:style>
  <w:style w:type="character" w:styleId="15">
    <w:name w:val="page number"/>
    <w:basedOn w:val="14"/>
    <w:qFormat/>
    <w:uiPriority w:val="0"/>
  </w:style>
  <w:style w:type="character" w:styleId="16">
    <w:name w:val="Hyperlink"/>
    <w:basedOn w:val="14"/>
    <w:qFormat/>
    <w:uiPriority w:val="0"/>
    <w:rPr>
      <w:color w:val="0000FF"/>
      <w:u w:val="single"/>
    </w:rPr>
  </w:style>
  <w:style w:type="character" w:styleId="17">
    <w:name w:val="annotation reference"/>
    <w:basedOn w:val="14"/>
    <w:autoRedefine/>
    <w:qFormat/>
    <w:uiPriority w:val="0"/>
    <w:rPr>
      <w:sz w:val="21"/>
      <w:szCs w:val="21"/>
    </w:rPr>
  </w:style>
  <w:style w:type="character" w:customStyle="1" w:styleId="18">
    <w:name w:val="页脚 Char"/>
    <w:basedOn w:val="14"/>
    <w:link w:val="9"/>
    <w:qFormat/>
    <w:uiPriority w:val="99"/>
    <w:rPr>
      <w:kern w:val="2"/>
      <w:sz w:val="18"/>
    </w:rPr>
  </w:style>
  <w:style w:type="character" w:customStyle="1" w:styleId="19">
    <w:name w:val="批注文字 Char"/>
    <w:basedOn w:val="14"/>
    <w:link w:val="3"/>
    <w:qFormat/>
    <w:uiPriority w:val="0"/>
    <w:rPr>
      <w:kern w:val="2"/>
      <w:sz w:val="21"/>
      <w:szCs w:val="24"/>
    </w:rPr>
  </w:style>
  <w:style w:type="character" w:customStyle="1" w:styleId="20">
    <w:name w:val="批注主题 Char"/>
    <w:basedOn w:val="19"/>
    <w:link w:val="12"/>
    <w:autoRedefine/>
    <w:qFormat/>
    <w:uiPriority w:val="0"/>
    <w:rPr>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oleObject" Target="embeddings/oleObject10.bin"/><Relationship Id="rId24" Type="http://schemas.openxmlformats.org/officeDocument/2006/relationships/image" Target="media/image9.wmf"/><Relationship Id="rId23" Type="http://schemas.openxmlformats.org/officeDocument/2006/relationships/oleObject" Target="embeddings/oleObject9.bin"/><Relationship Id="rId22" Type="http://schemas.openxmlformats.org/officeDocument/2006/relationships/image" Target="media/image8.wmf"/><Relationship Id="rId21" Type="http://schemas.openxmlformats.org/officeDocument/2006/relationships/oleObject" Target="embeddings/oleObject8.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6.wmf"/><Relationship Id="rId17" Type="http://schemas.openxmlformats.org/officeDocument/2006/relationships/oleObject" Target="embeddings/oleObject6.bin"/><Relationship Id="rId16" Type="http://schemas.openxmlformats.org/officeDocument/2006/relationships/image" Target="media/image5.wmf"/><Relationship Id="rId15" Type="http://schemas.openxmlformats.org/officeDocument/2006/relationships/oleObject" Target="embeddings/oleObject5.bin"/><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dhx</Company>
  <Pages>5</Pages>
  <Words>2066</Words>
  <Characters>2264</Characters>
  <Lines>12</Lines>
  <Paragraphs>3</Paragraphs>
  <TotalTime>0</TotalTime>
  <ScaleCrop>false</ScaleCrop>
  <LinksUpToDate>false</LinksUpToDate>
  <CharactersWithSpaces>2406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2010-06-11T01:14:00Z</dcterms:created>
  <dc:creator>zzj</dc:creator>
  <cp:lastModifiedBy>我心飞翔</cp:lastModifiedBy>
  <cp:lastPrinted>2024-03-18T08:30:00Z</cp:lastPrinted>
  <dcterms:modified xsi:type="dcterms:W3CDTF">2024-09-29T02:43:11Z</dcterms:modified>
  <dc:title>《水表》国家计量检定规程编写说明</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2309F9712A0345278B8C2601539621F1</vt:lpwstr>
  </property>
</Properties>
</file>